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77" w:rsidRDefault="00E1092A">
      <w:pPr>
        <w:rPr>
          <w:rFonts w:ascii="Times New Roman" w:hAnsi="Times New Roman" w:cs="Times New Roman"/>
          <w:b/>
          <w:sz w:val="24"/>
          <w:szCs w:val="24"/>
        </w:rPr>
      </w:pPr>
      <w:bookmarkStart w:id="0" w:name="_GoBack"/>
      <w:bookmarkEnd w:id="0"/>
      <w:r w:rsidRPr="00E1092A">
        <w:rPr>
          <w:rFonts w:ascii="Times New Roman" w:hAnsi="Times New Roman" w:cs="Times New Roman"/>
          <w:b/>
          <w:sz w:val="24"/>
          <w:szCs w:val="24"/>
        </w:rPr>
        <w:t>FUNKCIJOS</w:t>
      </w:r>
    </w:p>
    <w:tbl>
      <w:tblPr>
        <w:tblW w:w="0" w:type="auto"/>
        <w:tblCellMar>
          <w:left w:w="0" w:type="dxa"/>
          <w:right w:w="0" w:type="dxa"/>
        </w:tblCellMar>
        <w:tblLook w:val="0000" w:firstRow="0" w:lastRow="0" w:firstColumn="0" w:lastColumn="0" w:noHBand="0" w:noVBand="0"/>
      </w:tblPr>
      <w:tblGrid>
        <w:gridCol w:w="6"/>
        <w:gridCol w:w="6"/>
        <w:gridCol w:w="9055"/>
        <w:gridCol w:w="13"/>
      </w:tblGrid>
      <w:tr w:rsidR="00E1092A" w:rsidTr="009969A5">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1</w:t>
                  </w:r>
                  <w:r w:rsidRPr="00E1092A">
                    <w:rPr>
                      <w:rFonts w:ascii="Times New Roman" w:hAnsi="Times New Roman" w:cs="Times New Roman"/>
                      <w:color w:val="000000"/>
                      <w:sz w:val="24"/>
                    </w:rPr>
                    <w:t>. Savivaldybės kontrolieriaus pavedimu savarankiškai arba grupėje atlieka audituojamų subjektų planinius ir veiklos plane nenumatytus finansinius (teisėtumo) ir veiklos auditus, kitus patikrinimus.</w:t>
                  </w:r>
                </w:p>
              </w:tc>
            </w:tr>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2</w:t>
                  </w:r>
                  <w:r w:rsidRPr="00E1092A">
                    <w:rPr>
                      <w:rFonts w:ascii="Times New Roman" w:hAnsi="Times New Roman" w:cs="Times New Roman"/>
                      <w:color w:val="000000"/>
                      <w:sz w:val="24"/>
                    </w:rPr>
                    <w:t>. Kontroliuoja audito metu pateiktų rekomendacijų vykdymą audituojamuose subjektuose.</w:t>
                  </w:r>
                </w:p>
              </w:tc>
            </w:tr>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3</w:t>
                  </w:r>
                  <w:r w:rsidRPr="00E1092A">
                    <w:rPr>
                      <w:rFonts w:ascii="Times New Roman" w:hAnsi="Times New Roman" w:cs="Times New Roman"/>
                      <w:color w:val="000000"/>
                      <w:sz w:val="24"/>
                    </w:rPr>
                    <w:t>. Teikia siūlymus dėl Tarnybos metinio veiklos plano ir veiklos ataskaitos sudarymo.</w:t>
                  </w:r>
                </w:p>
              </w:tc>
            </w:tr>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4</w:t>
                  </w:r>
                  <w:r w:rsidRPr="00E1092A">
                    <w:rPr>
                      <w:rFonts w:ascii="Times New Roman" w:hAnsi="Times New Roman" w:cs="Times New Roman"/>
                      <w:color w:val="000000"/>
                      <w:sz w:val="24"/>
                    </w:rPr>
                    <w:t>. Tobulina kvalifikaciją, atlieka priskirtų sričių bei subjektų stebėjimą, renka ir analizuoja informaciją apie juos esamų bei galimų problemų nustatymui, analizuoja teisės aktus, susijusius su atliekamomis funkcijomis ir teikia informaciją bei pasiūlymus Savivaldybės kontrolieriui.</w:t>
                  </w:r>
                </w:p>
              </w:tc>
            </w:tr>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5</w:t>
                  </w:r>
                  <w:r w:rsidRPr="00E1092A">
                    <w:rPr>
                      <w:rFonts w:ascii="Times New Roman" w:hAnsi="Times New Roman" w:cs="Times New Roman"/>
                      <w:color w:val="000000"/>
                      <w:sz w:val="24"/>
                    </w:rPr>
                    <w:t>. Vykdo kontrolės ir audito tarnybos dokumentų tvarkymo funkciją.</w:t>
                  </w:r>
                </w:p>
              </w:tc>
            </w:tr>
          </w:tbl>
          <w:p w:rsidR="00E1092A" w:rsidRPr="00E1092A" w:rsidRDefault="00E1092A" w:rsidP="00E1092A">
            <w:pPr>
              <w:spacing w:after="0" w:line="240" w:lineRule="auto"/>
              <w:jc w:val="both"/>
              <w:rPr>
                <w:rFonts w:ascii="Times New Roman" w:hAnsi="Times New Roman" w:cs="Times New Roman"/>
              </w:rPr>
            </w:pPr>
          </w:p>
        </w:tc>
      </w:tr>
      <w:tr w:rsidR="00E1092A" w:rsidRPr="00E1092A" w:rsidTr="009969A5">
        <w:trPr>
          <w:gridAfter w:val="1"/>
          <w:wAfter w:w="13" w:type="dxa"/>
          <w:trHeight w:val="20"/>
        </w:trPr>
        <w:tc>
          <w:tcPr>
            <w:tcW w:w="1" w:type="dxa"/>
          </w:tcPr>
          <w:p w:rsidR="00E1092A" w:rsidRPr="00E1092A" w:rsidRDefault="00E1092A" w:rsidP="00E1092A">
            <w:pPr>
              <w:pStyle w:val="EmptyLayoutCell"/>
              <w:jc w:val="both"/>
            </w:pPr>
          </w:p>
        </w:tc>
        <w:tc>
          <w:tcPr>
            <w:tcW w:w="1" w:type="dxa"/>
          </w:tcPr>
          <w:p w:rsidR="00E1092A" w:rsidRPr="00E1092A" w:rsidRDefault="00E1092A" w:rsidP="00E1092A">
            <w:pPr>
              <w:pStyle w:val="EmptyLayoutCell"/>
              <w:jc w:val="both"/>
            </w:pPr>
          </w:p>
        </w:tc>
        <w:tc>
          <w:tcPr>
            <w:tcW w:w="9055" w:type="dxa"/>
          </w:tcPr>
          <w:p w:rsidR="00E1092A" w:rsidRPr="00E1092A" w:rsidRDefault="00E1092A" w:rsidP="00E1092A">
            <w:pPr>
              <w:pStyle w:val="EmptyLayoutCell"/>
              <w:jc w:val="both"/>
            </w:pPr>
          </w:p>
        </w:tc>
      </w:tr>
      <w:tr w:rsidR="00E1092A" w:rsidTr="009969A5">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1092A" w:rsidRPr="00E1092A" w:rsidTr="009969A5">
              <w:trPr>
                <w:trHeight w:val="260"/>
              </w:trPr>
              <w:tc>
                <w:tcPr>
                  <w:tcW w:w="9070" w:type="dxa"/>
                  <w:tcMar>
                    <w:top w:w="40" w:type="dxa"/>
                    <w:left w:w="40" w:type="dxa"/>
                    <w:bottom w:w="40" w:type="dxa"/>
                    <w:right w:w="40" w:type="dxa"/>
                  </w:tcMar>
                </w:tcPr>
                <w:p w:rsidR="00E1092A" w:rsidRPr="00E1092A" w:rsidRDefault="00E1092A" w:rsidP="00E1092A">
                  <w:pPr>
                    <w:spacing w:after="0" w:line="240" w:lineRule="auto"/>
                    <w:jc w:val="both"/>
                    <w:rPr>
                      <w:rFonts w:ascii="Times New Roman" w:hAnsi="Times New Roman" w:cs="Times New Roman"/>
                    </w:rPr>
                  </w:pPr>
                  <w:r>
                    <w:rPr>
                      <w:rFonts w:ascii="Times New Roman" w:hAnsi="Times New Roman" w:cs="Times New Roman"/>
                      <w:color w:val="000000"/>
                      <w:sz w:val="24"/>
                    </w:rPr>
                    <w:t>6</w:t>
                  </w:r>
                  <w:r w:rsidRPr="00E1092A">
                    <w:rPr>
                      <w:rFonts w:ascii="Times New Roman" w:hAnsi="Times New Roman" w:cs="Times New Roman"/>
                      <w:color w:val="000000"/>
                      <w:sz w:val="24"/>
                    </w:rPr>
                    <w:t>. Vykdo kitus nenuolatinio pobūdžio su įstaigos veikla susijusius pavedimus.</w:t>
                  </w:r>
                </w:p>
              </w:tc>
            </w:tr>
          </w:tbl>
          <w:p w:rsidR="00E1092A" w:rsidRPr="00E1092A" w:rsidRDefault="00E1092A" w:rsidP="00E1092A">
            <w:pPr>
              <w:spacing w:after="0" w:line="240" w:lineRule="auto"/>
              <w:jc w:val="both"/>
              <w:rPr>
                <w:rFonts w:ascii="Times New Roman" w:hAnsi="Times New Roman" w:cs="Times New Roman"/>
              </w:rPr>
            </w:pPr>
          </w:p>
        </w:tc>
      </w:tr>
      <w:tr w:rsidR="00E1092A" w:rsidTr="009969A5">
        <w:trPr>
          <w:gridAfter w:val="1"/>
          <w:wAfter w:w="13" w:type="dxa"/>
          <w:trHeight w:val="139"/>
        </w:trPr>
        <w:tc>
          <w:tcPr>
            <w:tcW w:w="1" w:type="dxa"/>
          </w:tcPr>
          <w:p w:rsidR="00E1092A" w:rsidRDefault="00E1092A" w:rsidP="00E1092A">
            <w:pPr>
              <w:pStyle w:val="EmptyLayoutCell"/>
              <w:jc w:val="both"/>
            </w:pPr>
          </w:p>
        </w:tc>
        <w:tc>
          <w:tcPr>
            <w:tcW w:w="1" w:type="dxa"/>
          </w:tcPr>
          <w:p w:rsidR="00E1092A" w:rsidRDefault="00E1092A" w:rsidP="00E1092A">
            <w:pPr>
              <w:pStyle w:val="EmptyLayoutCell"/>
              <w:jc w:val="both"/>
            </w:pPr>
          </w:p>
        </w:tc>
        <w:tc>
          <w:tcPr>
            <w:tcW w:w="9055" w:type="dxa"/>
          </w:tcPr>
          <w:p w:rsidR="00E1092A" w:rsidRDefault="00E1092A" w:rsidP="00E1092A">
            <w:pPr>
              <w:pStyle w:val="EmptyLayoutCell"/>
              <w:jc w:val="both"/>
            </w:pPr>
          </w:p>
        </w:tc>
      </w:tr>
    </w:tbl>
    <w:p w:rsidR="00E1092A" w:rsidRPr="00E1092A" w:rsidRDefault="00E1092A" w:rsidP="00E1092A">
      <w:pPr>
        <w:jc w:val="both"/>
        <w:rPr>
          <w:rFonts w:ascii="Times New Roman" w:hAnsi="Times New Roman" w:cs="Times New Roman"/>
          <w:b/>
          <w:sz w:val="24"/>
          <w:szCs w:val="24"/>
        </w:rPr>
      </w:pPr>
    </w:p>
    <w:sectPr w:rsidR="00E1092A" w:rsidRPr="00E1092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2A"/>
    <w:rsid w:val="00581D77"/>
    <w:rsid w:val="00755531"/>
    <w:rsid w:val="00E10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39CDE-1D8C-485E-8B4A-A66162D6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sid w:val="00E1092A"/>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302</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Kontrolierius</dc:creator>
  <cp:keywords/>
  <dc:description/>
  <cp:lastModifiedBy>Kontrolierius </cp:lastModifiedBy>
  <cp:revision>2</cp:revision>
  <dcterms:created xsi:type="dcterms:W3CDTF">2021-01-19T12:20:00Z</dcterms:created>
  <dcterms:modified xsi:type="dcterms:W3CDTF">2021-01-19T12:20:00Z</dcterms:modified>
</cp:coreProperties>
</file>