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3EF" w:rsidRPr="00CC5112" w:rsidRDefault="00BE23EF" w:rsidP="00722E97">
      <w:pPr>
        <w:ind w:firstLine="1134"/>
        <w:jc w:val="both"/>
      </w:pPr>
      <w:bookmarkStart w:id="0" w:name="_GoBack"/>
      <w:bookmarkEnd w:id="0"/>
    </w:p>
    <w:p w:rsidR="00962851" w:rsidRPr="00CC5112" w:rsidRDefault="00962851" w:rsidP="002A476F">
      <w:pPr>
        <w:ind w:firstLine="1134"/>
        <w:jc w:val="center"/>
        <w:rPr>
          <w:b/>
        </w:rPr>
      </w:pPr>
    </w:p>
    <w:p w:rsidR="008F7CB1" w:rsidRPr="00CC5112" w:rsidRDefault="007329CB" w:rsidP="001F5BF8">
      <w:pPr>
        <w:jc w:val="center"/>
        <w:rPr>
          <w:b/>
        </w:rPr>
      </w:pPr>
      <w:r w:rsidRPr="00CC5112">
        <w:rPr>
          <w:b/>
        </w:rPr>
        <w:t>ŠIAULIŲ MIESTO SAVIVALDYBĖS KONSOLIDUOTŲJŲ FINANSINIŲ                    ATASKAITŲ</w:t>
      </w:r>
      <w:r w:rsidR="008F7CB1" w:rsidRPr="00CC5112">
        <w:rPr>
          <w:b/>
        </w:rPr>
        <w:t xml:space="preserve"> UŽ 201</w:t>
      </w:r>
      <w:r w:rsidR="00471479" w:rsidRPr="00CC5112">
        <w:rPr>
          <w:b/>
        </w:rPr>
        <w:t>7</w:t>
      </w:r>
      <w:r w:rsidR="00427CDB" w:rsidRPr="00CC5112">
        <w:rPr>
          <w:b/>
        </w:rPr>
        <w:t xml:space="preserve"> METUS </w:t>
      </w:r>
      <w:r w:rsidR="001F5BF8" w:rsidRPr="00CC5112">
        <w:rPr>
          <w:b/>
        </w:rPr>
        <w:t>AIŠKINAMASIS RAŠTAS</w:t>
      </w:r>
    </w:p>
    <w:p w:rsidR="008F7CB1" w:rsidRPr="00CC5112" w:rsidRDefault="008F7CB1" w:rsidP="00722E97">
      <w:pPr>
        <w:pStyle w:val="Default"/>
        <w:ind w:firstLine="1134"/>
        <w:jc w:val="both"/>
        <w:rPr>
          <w:b/>
          <w:color w:val="auto"/>
        </w:rPr>
      </w:pPr>
    </w:p>
    <w:p w:rsidR="001F5BF8" w:rsidRPr="00CC5112" w:rsidRDefault="001F5BF8" w:rsidP="00722E97">
      <w:pPr>
        <w:pStyle w:val="Default"/>
        <w:ind w:firstLine="1134"/>
        <w:jc w:val="both"/>
        <w:rPr>
          <w:b/>
          <w:color w:val="auto"/>
        </w:rPr>
      </w:pPr>
    </w:p>
    <w:p w:rsidR="007329CB" w:rsidRPr="00CC5112" w:rsidRDefault="007329CB" w:rsidP="00471479">
      <w:pPr>
        <w:pStyle w:val="Default"/>
        <w:jc w:val="center"/>
        <w:rPr>
          <w:b/>
          <w:color w:val="auto"/>
        </w:rPr>
      </w:pPr>
      <w:r w:rsidRPr="00CC5112">
        <w:rPr>
          <w:b/>
          <w:color w:val="auto"/>
        </w:rPr>
        <w:t>I. BENDROJI DALIS</w:t>
      </w:r>
    </w:p>
    <w:p w:rsidR="00427CDB" w:rsidRPr="00CC5112" w:rsidRDefault="00427CDB" w:rsidP="00722E97">
      <w:pPr>
        <w:pStyle w:val="Default"/>
        <w:jc w:val="both"/>
        <w:rPr>
          <w:b/>
          <w:color w:val="auto"/>
        </w:rPr>
      </w:pPr>
    </w:p>
    <w:p w:rsidR="00FE05C8" w:rsidRPr="00CC5112" w:rsidRDefault="00FE05C8" w:rsidP="00722E97">
      <w:pPr>
        <w:pStyle w:val="Default"/>
        <w:jc w:val="both"/>
        <w:rPr>
          <w:color w:val="auto"/>
        </w:rPr>
      </w:pPr>
    </w:p>
    <w:p w:rsidR="00AD2601" w:rsidRPr="00CC5112" w:rsidRDefault="007329CB" w:rsidP="00ED3C52">
      <w:pPr>
        <w:pStyle w:val="Default"/>
        <w:tabs>
          <w:tab w:val="left" w:pos="1170"/>
        </w:tabs>
        <w:ind w:firstLine="1134"/>
        <w:jc w:val="both"/>
      </w:pPr>
      <w:r w:rsidRPr="00CC5112">
        <w:rPr>
          <w:color w:val="auto"/>
        </w:rPr>
        <w:t>Šiaulių miesto savivaldybė</w:t>
      </w:r>
      <w:r w:rsidR="00AD2601" w:rsidRPr="00CC5112">
        <w:rPr>
          <w:color w:val="auto"/>
        </w:rPr>
        <w:t xml:space="preserve"> (toliau – Savivaldybė) </w:t>
      </w:r>
      <w:r w:rsidRPr="00CC5112">
        <w:rPr>
          <w:color w:val="auto"/>
        </w:rPr>
        <w:t>yra viešasis juridinis asmuo, turintis herbinį antspaudą ir sąskaitų bankuose. Savivaldybės kodas – 111109429. Menamas grupės kodas – M11. Savivaldybės veiklos sritis – Lietuvos Respublikos savivaldybių veikla. Buveinės adresas – Vasario 16-osios g. 62, LT-76295, Šiauliai.</w:t>
      </w:r>
      <w:r w:rsidR="00AD2601" w:rsidRPr="00CC5112">
        <w:rPr>
          <w:color w:val="auto"/>
        </w:rPr>
        <w:t xml:space="preserve"> </w:t>
      </w:r>
      <w:r w:rsidR="00AD2601" w:rsidRPr="00CC5112">
        <w:t>Savivaldybės atliekamos funkcijos apibrėžtos Lietuvos Respublikos įstatymais, Lietuvos Respublikos Vyriausybės nutarimais ir kitais norminiais teisės aktais.</w:t>
      </w:r>
      <w:r w:rsidR="00E83FCA" w:rsidRPr="00CC5112">
        <w:t xml:space="preserve"> Veiklos rūšis: Lietuvos Respublikos savivaldybių veikla (kodas 75.11.20).</w:t>
      </w:r>
    </w:p>
    <w:p w:rsidR="00AD2601" w:rsidRPr="00CC5112" w:rsidRDefault="00AD2601" w:rsidP="00ED3C52">
      <w:pPr>
        <w:pStyle w:val="Default"/>
        <w:tabs>
          <w:tab w:val="left" w:pos="1170"/>
        </w:tabs>
        <w:ind w:firstLine="1134"/>
        <w:jc w:val="both"/>
        <w:rPr>
          <w:lang w:eastAsia="en-US"/>
        </w:rPr>
      </w:pPr>
      <w:r w:rsidRPr="00CC5112">
        <w:rPr>
          <w:lang w:eastAsia="en-US"/>
        </w:rPr>
        <w:t>Reikšmingų įvykių, kurie gali turėti įtakos 201</w:t>
      </w:r>
      <w:r w:rsidR="004F7108" w:rsidRPr="00CC5112">
        <w:rPr>
          <w:lang w:eastAsia="en-US"/>
        </w:rPr>
        <w:t>7</w:t>
      </w:r>
      <w:r w:rsidRPr="00CC5112">
        <w:rPr>
          <w:lang w:eastAsia="en-US"/>
        </w:rPr>
        <w:t xml:space="preserve"> metų savivaldybės veiklai, nebuvo.</w:t>
      </w:r>
    </w:p>
    <w:p w:rsidR="00AD2601" w:rsidRPr="00CC5112" w:rsidRDefault="00AD2601" w:rsidP="00ED3C52">
      <w:pPr>
        <w:pStyle w:val="Default"/>
        <w:tabs>
          <w:tab w:val="left" w:pos="1170"/>
        </w:tabs>
        <w:ind w:firstLine="1134"/>
        <w:jc w:val="both"/>
      </w:pPr>
      <w:r w:rsidRPr="00CC5112">
        <w:rPr>
          <w:lang w:eastAsia="en-US"/>
        </w:rPr>
        <w:t>Savivaldybės finansiniai metai sutampa su kalendoriniais metais.</w:t>
      </w:r>
    </w:p>
    <w:p w:rsidR="00AD2601" w:rsidRPr="00CC5112" w:rsidRDefault="00173A86" w:rsidP="00ED3C52">
      <w:pPr>
        <w:pStyle w:val="Default"/>
        <w:tabs>
          <w:tab w:val="left" w:pos="1170"/>
        </w:tabs>
        <w:ind w:firstLine="1134"/>
        <w:jc w:val="both"/>
        <w:rPr>
          <w:color w:val="auto"/>
        </w:rPr>
      </w:pPr>
      <w:r w:rsidRPr="00CC5112">
        <w:t>Sav</w:t>
      </w:r>
      <w:r w:rsidR="007558CE" w:rsidRPr="00CC5112">
        <w:t>ivaldybės</w:t>
      </w:r>
      <w:r w:rsidRPr="00CC5112">
        <w:t xml:space="preserve"> </w:t>
      </w:r>
      <w:r w:rsidR="0090721B" w:rsidRPr="00CC5112">
        <w:t xml:space="preserve">konsoliduotų finansinių ataskaitų rinkinys (toliau – KFAR) </w:t>
      </w:r>
      <w:r w:rsidR="00AD2601" w:rsidRPr="00CC5112">
        <w:t>parengtas</w:t>
      </w:r>
      <w:r w:rsidR="007558CE" w:rsidRPr="00CC5112">
        <w:t xml:space="preserve"> sukonsolidavus Savivaldybės kontroliuojamų </w:t>
      </w:r>
      <w:r w:rsidR="0090721B" w:rsidRPr="00CC5112">
        <w:t xml:space="preserve">viešojo sektoriaus subjektų (toliau – </w:t>
      </w:r>
      <w:r w:rsidR="007558CE" w:rsidRPr="00CC5112">
        <w:t>VSS</w:t>
      </w:r>
      <w:r w:rsidR="0090721B" w:rsidRPr="00CC5112">
        <w:t>)</w:t>
      </w:r>
      <w:r w:rsidR="007558CE" w:rsidRPr="00CC5112">
        <w:t>, kurių sąrašas pateiktas finansų ministro 201</w:t>
      </w:r>
      <w:r w:rsidR="004F7108" w:rsidRPr="00CC5112">
        <w:t>8</w:t>
      </w:r>
      <w:r w:rsidR="007558CE" w:rsidRPr="00CC5112">
        <w:t xml:space="preserve"> m. </w:t>
      </w:r>
      <w:r w:rsidR="00E83FCA" w:rsidRPr="00CC5112">
        <w:t>sausio</w:t>
      </w:r>
      <w:r w:rsidR="007558CE" w:rsidRPr="00CC5112">
        <w:t xml:space="preserve"> </w:t>
      </w:r>
      <w:r w:rsidR="00E83FCA" w:rsidRPr="00CC5112">
        <w:t>2</w:t>
      </w:r>
      <w:r w:rsidR="00BF24E7" w:rsidRPr="00CC5112">
        <w:t>9 d. įsakymu Nr. 1K-33</w:t>
      </w:r>
      <w:r w:rsidR="007558CE" w:rsidRPr="00CC5112">
        <w:t xml:space="preserve"> patvirtintoje 201</w:t>
      </w:r>
      <w:r w:rsidR="00BF24E7" w:rsidRPr="00CC5112">
        <w:t>7</w:t>
      </w:r>
      <w:r w:rsidR="007558CE" w:rsidRPr="00CC5112">
        <w:t xml:space="preserve"> m. konsolidavimo schemoje</w:t>
      </w:r>
      <w:r w:rsidR="00E44EE2" w:rsidRPr="00CC5112">
        <w:t>.</w:t>
      </w:r>
      <w:r w:rsidR="00A84E58" w:rsidRPr="00CC5112">
        <w:t xml:space="preserve"> 201</w:t>
      </w:r>
      <w:r w:rsidR="00BF24E7" w:rsidRPr="00CC5112">
        <w:t>7</w:t>
      </w:r>
      <w:r w:rsidR="00A84E58" w:rsidRPr="00CC5112">
        <w:t xml:space="preserve"> metais likviduot</w:t>
      </w:r>
      <w:r w:rsidR="00BF24E7" w:rsidRPr="00CC5112">
        <w:t>ų įstaigų nebuvo</w:t>
      </w:r>
      <w:r w:rsidR="00A84E58" w:rsidRPr="00CC5112">
        <w:t>.</w:t>
      </w:r>
      <w:r w:rsidR="00BF24E7" w:rsidRPr="00CC5112">
        <w:t xml:space="preserve"> 2017 m. spalio 2 d. iš viešosios įstaigos reorganizuotas į biudžetinę įstaigą Šiaulių turizmo informacijos centras. Šiaulių sutrikusios klausos vaikų ugdymo centras pakeitė pavadinimą į Šiaulių lopšelis darželis „Drugelis“</w:t>
      </w:r>
      <w:r w:rsidR="008811CD" w:rsidRPr="00CC5112">
        <w:t>.</w:t>
      </w:r>
    </w:p>
    <w:p w:rsidR="000A438A" w:rsidRPr="00CC5112" w:rsidRDefault="007329CB" w:rsidP="00ED3C52">
      <w:pPr>
        <w:pStyle w:val="Default"/>
        <w:tabs>
          <w:tab w:val="left" w:pos="1170"/>
        </w:tabs>
        <w:ind w:firstLine="1134"/>
        <w:jc w:val="both"/>
        <w:rPr>
          <w:color w:val="auto"/>
        </w:rPr>
      </w:pPr>
      <w:r w:rsidRPr="00CC5112">
        <w:rPr>
          <w:color w:val="auto"/>
        </w:rPr>
        <w:t>Į</w:t>
      </w:r>
      <w:r w:rsidR="00E5791B" w:rsidRPr="00CC5112">
        <w:rPr>
          <w:color w:val="auto"/>
        </w:rPr>
        <w:t xml:space="preserve"> </w:t>
      </w:r>
      <w:r w:rsidRPr="00CC5112">
        <w:rPr>
          <w:color w:val="auto"/>
        </w:rPr>
        <w:t>šį ataskaitų rinkinį yra įtrauktos</w:t>
      </w:r>
      <w:r w:rsidR="008F7CB1" w:rsidRPr="00CC5112">
        <w:rPr>
          <w:color w:val="auto"/>
        </w:rPr>
        <w:t xml:space="preserve"> </w:t>
      </w:r>
      <w:r w:rsidR="00A75986" w:rsidRPr="00CC5112">
        <w:rPr>
          <w:color w:val="auto"/>
        </w:rPr>
        <w:t>100</w:t>
      </w:r>
      <w:r w:rsidR="00F32481" w:rsidRPr="00CC5112">
        <w:rPr>
          <w:color w:val="auto"/>
        </w:rPr>
        <w:t xml:space="preserve"> įstaigų</w:t>
      </w:r>
      <w:r w:rsidRPr="00CC5112">
        <w:rPr>
          <w:color w:val="auto"/>
        </w:rPr>
        <w:t xml:space="preserve"> savivaldybės kontroliuojamų </w:t>
      </w:r>
      <w:r w:rsidR="007558CE" w:rsidRPr="00CC5112">
        <w:rPr>
          <w:color w:val="auto"/>
        </w:rPr>
        <w:t>VSS</w:t>
      </w:r>
      <w:r w:rsidRPr="00CC5112">
        <w:rPr>
          <w:color w:val="auto"/>
        </w:rPr>
        <w:t xml:space="preserve"> finansinės ataskai</w:t>
      </w:r>
      <w:r w:rsidR="008F7CB1" w:rsidRPr="00CC5112">
        <w:rPr>
          <w:color w:val="auto"/>
        </w:rPr>
        <w:t>tos už metus, pasibaigusius 201</w:t>
      </w:r>
      <w:r w:rsidR="00BF24E7" w:rsidRPr="00CC5112">
        <w:rPr>
          <w:color w:val="auto"/>
        </w:rPr>
        <w:t>7</w:t>
      </w:r>
      <w:r w:rsidR="000A438A" w:rsidRPr="00CC5112">
        <w:rPr>
          <w:color w:val="auto"/>
        </w:rPr>
        <w:t xml:space="preserve"> m. gruodžio 31 d.</w:t>
      </w:r>
      <w:r w:rsidR="009B4E7E" w:rsidRPr="00CC5112">
        <w:rPr>
          <w:color w:val="auto"/>
        </w:rPr>
        <w:t xml:space="preserve"> </w:t>
      </w:r>
    </w:p>
    <w:p w:rsidR="008E00AD" w:rsidRPr="00CC5112" w:rsidRDefault="00AD2601" w:rsidP="00ED3C52">
      <w:pPr>
        <w:pStyle w:val="Pagrindinistekstas"/>
        <w:spacing w:after="0"/>
        <w:ind w:firstLine="1134"/>
        <w:jc w:val="both"/>
      </w:pPr>
      <w:r w:rsidRPr="00CC5112">
        <w:t>201</w:t>
      </w:r>
      <w:r w:rsidR="00BF24E7" w:rsidRPr="00CC5112">
        <w:t>7</w:t>
      </w:r>
      <w:r w:rsidR="007329CB" w:rsidRPr="00CC5112">
        <w:t xml:space="preserve"> metais savivaldybės kontroliuojamuose viešojo sektoriaus subjektuose vidutiniškai buvo </w:t>
      </w:r>
      <w:r w:rsidR="00BF24E7" w:rsidRPr="00CC5112">
        <w:t>6026</w:t>
      </w:r>
      <w:r w:rsidR="007329CB" w:rsidRPr="00CC5112">
        <w:t xml:space="preserve"> darbuotojai. </w:t>
      </w:r>
    </w:p>
    <w:p w:rsidR="00D036A7" w:rsidRPr="00CC5112" w:rsidRDefault="00D036A7" w:rsidP="00722E97">
      <w:pPr>
        <w:pStyle w:val="Pagrindinistekstas"/>
        <w:spacing w:after="0"/>
        <w:jc w:val="both"/>
      </w:pPr>
    </w:p>
    <w:p w:rsidR="008E00AD" w:rsidRPr="00CC5112" w:rsidRDefault="008E00AD" w:rsidP="00722E97">
      <w:pPr>
        <w:pStyle w:val="Pagrindinistekstas"/>
        <w:spacing w:after="0"/>
        <w:jc w:val="both"/>
      </w:pPr>
      <w:r w:rsidRPr="00CC5112">
        <w:t>1 lentelė. Šiaulių miesto savivaldybės VSS įtraukti į konsoliduotųjų ataskaitų rinkinį.</w:t>
      </w:r>
    </w:p>
    <w:tbl>
      <w:tblPr>
        <w:tblW w:w="9654" w:type="dxa"/>
        <w:tblInd w:w="93" w:type="dxa"/>
        <w:tblLook w:val="04A0" w:firstRow="1" w:lastRow="0" w:firstColumn="1" w:lastColumn="0" w:noHBand="0" w:noVBand="1"/>
      </w:tblPr>
      <w:tblGrid>
        <w:gridCol w:w="760"/>
        <w:gridCol w:w="5660"/>
        <w:gridCol w:w="3234"/>
      </w:tblGrid>
      <w:tr w:rsidR="008E00AD" w:rsidRPr="00CC5112" w:rsidTr="00E5791B">
        <w:trPr>
          <w:trHeight w:val="600"/>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E00AD" w:rsidRPr="00CC5112" w:rsidRDefault="008E00AD" w:rsidP="008E00AD">
            <w:pPr>
              <w:suppressAutoHyphens w:val="0"/>
              <w:rPr>
                <w:color w:val="000000"/>
                <w:lang w:eastAsia="lt-LT"/>
              </w:rPr>
            </w:pPr>
            <w:r w:rsidRPr="00CC5112">
              <w:rPr>
                <w:color w:val="000000"/>
                <w:lang w:eastAsia="lt-LT"/>
              </w:rPr>
              <w:t>Eil. Nr.</w:t>
            </w:r>
          </w:p>
        </w:tc>
        <w:tc>
          <w:tcPr>
            <w:tcW w:w="5660" w:type="dxa"/>
            <w:tcBorders>
              <w:top w:val="single" w:sz="4" w:space="0" w:color="auto"/>
              <w:left w:val="nil"/>
              <w:bottom w:val="single" w:sz="4" w:space="0" w:color="auto"/>
              <w:right w:val="single" w:sz="4" w:space="0" w:color="auto"/>
            </w:tcBorders>
            <w:shd w:val="clear" w:color="auto" w:fill="auto"/>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Subjekto tipas ir pavadinimas</w:t>
            </w:r>
          </w:p>
        </w:tc>
        <w:tc>
          <w:tcPr>
            <w:tcW w:w="3234" w:type="dxa"/>
            <w:tcBorders>
              <w:top w:val="single" w:sz="4" w:space="0" w:color="auto"/>
              <w:left w:val="nil"/>
              <w:bottom w:val="single" w:sz="4" w:space="0" w:color="auto"/>
              <w:right w:val="single" w:sz="4" w:space="0" w:color="auto"/>
            </w:tcBorders>
            <w:shd w:val="clear" w:color="auto" w:fill="auto"/>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Buveinės adresas</w:t>
            </w:r>
          </w:p>
        </w:tc>
      </w:tr>
      <w:tr w:rsidR="008E00AD" w:rsidRPr="00CC5112" w:rsidTr="00D036A7">
        <w:trPr>
          <w:trHeight w:val="285"/>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8E00AD" w:rsidRPr="00CC5112" w:rsidRDefault="008E00AD" w:rsidP="008E00AD">
            <w:pPr>
              <w:suppressAutoHyphens w:val="0"/>
              <w:rPr>
                <w:color w:val="000000"/>
                <w:lang w:eastAsia="lt-LT"/>
              </w:rPr>
            </w:pPr>
            <w:r w:rsidRPr="00CC5112">
              <w:rPr>
                <w:color w:val="000000"/>
                <w:lang w:eastAsia="lt-LT"/>
              </w:rPr>
              <w:t> </w:t>
            </w:r>
          </w:p>
        </w:tc>
        <w:tc>
          <w:tcPr>
            <w:tcW w:w="8894" w:type="dxa"/>
            <w:gridSpan w:val="2"/>
            <w:tcBorders>
              <w:top w:val="single" w:sz="4" w:space="0" w:color="auto"/>
              <w:left w:val="nil"/>
              <w:bottom w:val="single" w:sz="4" w:space="0" w:color="auto"/>
              <w:right w:val="single" w:sz="4" w:space="0" w:color="000000"/>
            </w:tcBorders>
            <w:shd w:val="clear" w:color="000000" w:fill="D9D9D9"/>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Kontroliuojamos biudžetinės įstaigos</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Didždvario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Vilniaus g. 188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EE5BF3" w:rsidP="008E00AD">
            <w:pPr>
              <w:suppressAutoHyphens w:val="0"/>
              <w:rPr>
                <w:color w:val="000000"/>
                <w:lang w:eastAsia="lt-LT"/>
              </w:rPr>
            </w:pPr>
            <w:r w:rsidRPr="00CC5112">
              <w:rPr>
                <w:color w:val="000000"/>
                <w:lang w:eastAsia="lt-LT"/>
              </w:rPr>
              <w:t xml:space="preserve"> Juliaus</w:t>
            </w:r>
            <w:r w:rsidR="008E00AD" w:rsidRPr="00CC5112">
              <w:rPr>
                <w:color w:val="000000"/>
                <w:lang w:eastAsia="lt-LT"/>
              </w:rPr>
              <w:t xml:space="preserve"> Janonio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Tilžės g. 137</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,,Romuvos''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7</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,,Saulėtekio''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Lieporių g. 2</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Lieporių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 Grinkevičiaus g. 22</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EE5BF3" w:rsidP="008E00AD">
            <w:pPr>
              <w:suppressAutoHyphens w:val="0"/>
              <w:rPr>
                <w:color w:val="000000"/>
                <w:lang w:eastAsia="lt-LT"/>
              </w:rPr>
            </w:pPr>
            <w:r w:rsidRPr="00CC5112">
              <w:rPr>
                <w:color w:val="000000"/>
                <w:lang w:eastAsia="lt-LT"/>
              </w:rPr>
              <w:t xml:space="preserve"> Stasio</w:t>
            </w:r>
            <w:r w:rsidR="008E00AD" w:rsidRPr="00CC5112">
              <w:rPr>
                <w:color w:val="000000"/>
                <w:lang w:eastAsia="lt-LT"/>
              </w:rPr>
              <w:t xml:space="preserve"> Šalkauskio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St. Šalkauskio g. 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Simono Daukanto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Simono Daukanto g. 71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Sporto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Vilniaus g. 297</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Suaugusiųjų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Žemaitės g. 83A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,,Santarvės''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Vytauto g. 113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45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Gegužių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Dariaus ir Girėno g. 22</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Gytarių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Korsako g. 10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Jovaro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Vytauto g. 132</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,,Juventos''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 Višinskio g. 16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7A2073" w:rsidP="008E00AD">
            <w:pPr>
              <w:suppressAutoHyphens w:val="0"/>
              <w:rPr>
                <w:color w:val="000000"/>
                <w:lang w:eastAsia="lt-LT"/>
              </w:rPr>
            </w:pPr>
            <w:r w:rsidRPr="00CC5112">
              <w:rPr>
                <w:color w:val="000000"/>
                <w:lang w:eastAsia="lt-LT"/>
              </w:rPr>
              <w:t xml:space="preserve"> Vinco</w:t>
            </w:r>
            <w:r w:rsidR="008E00AD" w:rsidRPr="00CC5112">
              <w:rPr>
                <w:color w:val="000000"/>
                <w:lang w:eastAsia="lt-LT"/>
              </w:rPr>
              <w:t xml:space="preserve"> Kudirkos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Dvaro g. 129</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Medelyno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Birutės g. 40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lastRenderedPageBreak/>
              <w:t>18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Ragainės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Tilžės g. 85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19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Rasos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Tiesos g. 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Rėkyvos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Poilsio g. 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Romuvos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13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Salduvės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 Kalinausko g. 19</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,,Sandoros''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 Korsako g. 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Zoknių progimnazija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Radviliškio g. 66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Normundo Valterio jaunimo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Pabalių g. 53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Centro pradinė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A. Mickevičiaus g. 9</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,,Saulės'' pradinė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15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BF24E7">
            <w:pPr>
              <w:suppressAutoHyphens w:val="0"/>
              <w:rPr>
                <w:color w:val="000000"/>
                <w:lang w:eastAsia="lt-LT"/>
              </w:rPr>
            </w:pPr>
            <w:r w:rsidRPr="00CC5112">
              <w:rPr>
                <w:color w:val="000000"/>
                <w:lang w:eastAsia="lt-LT"/>
              </w:rPr>
              <w:t xml:space="preserve"> </w:t>
            </w:r>
            <w:r w:rsidR="00BF24E7" w:rsidRPr="00CC5112">
              <w:rPr>
                <w:color w:val="000000"/>
                <w:lang w:eastAsia="lt-LT"/>
              </w:rPr>
              <w:t>L/D ,,Drugelis“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Vilniaus g. 123A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29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Specialiojo ugdymo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96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Petro Avižonio regos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Papilės g. 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Šiaulių logopedinė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Vytauto g. 235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,,Ringuvos'' specialioji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Žaliūkių g. 76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Sanatorinė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 Kalinausko g. 17</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,,Auksinis raktelis''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Radviliškio g. 86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,,Ąžuoliukas''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Rūdės g. 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,,Bangelė''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Pirties g.8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,,Berželis''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Lydos g. 4</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,,Coliukė''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Spindulio g. 7</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39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,,Dainelė''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28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,,Eglutė''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 Korsako g. 6A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,,Ežerėlis''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Ežero g. 70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,,Gintarėlis''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Saulės takas 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,,Gluosnis''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J. Janonio g. 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,,Klevelis''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Miglovaros g. 26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,,Kregždutė''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 Cvirkos g. 60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,,Kūlverstukas''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Krymo g. 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Logopedinis lopšelis darželis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Lieporių g. 4</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,,Pasaka''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Statybininkų g. 7</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49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,,Pupų pėdas''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88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,,Pušelė''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Z. Gėlės g. 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,,Rugiagėlė''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31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,,Salduvė''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Vilniaus g. 38 D</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,,Saulutė'' </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Vytauto g. 57</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,,Sigutė''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J. Basanavičiaus g. 92</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,,Trys nykštukai''</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Tilžės g. 41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,,Varpelis''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Šviesos takas 30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,,Voveraitė''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Saulės takas 7</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w:t>
            </w:r>
            <w:r w:rsidR="00C62519" w:rsidRPr="00CC5112">
              <w:rPr>
                <w:color w:val="000000"/>
                <w:lang w:eastAsia="lt-LT"/>
              </w:rPr>
              <w:t>„</w:t>
            </w:r>
            <w:r w:rsidRPr="00CC5112">
              <w:rPr>
                <w:color w:val="000000"/>
                <w:lang w:eastAsia="lt-LT"/>
              </w:rPr>
              <w:t>Žiburėlis''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Darbininkų g. 30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59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,,Žibutė''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Ežero g. 6A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,,Žilvitis''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Marijampolės g. 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,,Žiogelis''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11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L/D ,,Žirniukas''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M. Valančiaus g. 31A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Dainavimo mokykla ,,Dagilėlis''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Vytauto g. 113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Dailės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Gumbinės g. 18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Jaunųjų gamtininkų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Žuvininkų g. 18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Jaunųjų technikų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Gumbinės g. 18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Jaunųjų turistų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Rygos g. 36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Moksleivių namai</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Aušros alėja 52</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69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I-oji muzikos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Trakų g. 39</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Šiaulių Dainų muzikos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26</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Švietimo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Pakalnės g. 6A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Šiaulių miesto pedagoginė psichologinė tarnyba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Pakalnės g. 6A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Dailės galerija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Vilniaus g. 245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Kultūros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Aušros alėja 31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Koncertinė įstaiga ,,Saulė''</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Tilžės g. 140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Kultūros centras ,,Laiptų galerija''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Žemaitės g. 83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Savivaldybės viešoji biblioteka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 Korsako g. 10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Sporto mokykla ,,Dubysa''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Gumbinės g. 18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79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Sporto mokykla ,,Atžalynas''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Ežero g. 70</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Teniso mokykla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Gardino g. 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Lengvosios atletikos ir sveikatingumo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 Daukanto g. 25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Sporto mokykla ,,Klevas''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Pumpučių g. 19</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Plaukimo mokykla ,,Delfinas''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Ežero g. 11A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Šiaulių futbolo akademija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 Daukanto g. 23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Šiaulių municipalinė aplinkos tyrimų laboratorija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Gegužių g. 94</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Socialinių paslaugų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Tilžės g. 63 B</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Savivaldybės globos namai</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Energetikų g. 20A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Savivaldybės vaikų globos namai</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 Korsako g. 61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89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Visuomenės sveikatos biuras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Varpo g. 9</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90</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Sutrikusio vystymosi kūdikių namai</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Vilniaus g. 303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91</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Kontrolės ir audito tarnyba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Vasario 16-osios g. 62</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92</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Šiaulių miesto savivaldybės administracija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Vasario 16-osios g. 62</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93</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C62519">
            <w:pPr>
              <w:suppressAutoHyphens w:val="0"/>
              <w:rPr>
                <w:color w:val="000000"/>
                <w:lang w:eastAsia="lt-LT"/>
              </w:rPr>
            </w:pPr>
            <w:r w:rsidRPr="00CC5112">
              <w:rPr>
                <w:color w:val="000000"/>
                <w:lang w:eastAsia="lt-LT"/>
              </w:rPr>
              <w:t xml:space="preserve"> </w:t>
            </w:r>
            <w:r w:rsidR="00C62519" w:rsidRPr="00CC5112">
              <w:rPr>
                <w:color w:val="000000"/>
                <w:lang w:eastAsia="lt-LT"/>
              </w:rPr>
              <w:t>Šiaulių turizmo informacijos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w:t>
            </w:r>
            <w:r w:rsidR="00C62519" w:rsidRPr="00CC5112">
              <w:rPr>
                <w:color w:val="000000"/>
                <w:lang w:eastAsia="lt-LT"/>
              </w:rPr>
              <w:t>Vilniaus g. 213</w:t>
            </w:r>
          </w:p>
        </w:tc>
      </w:tr>
      <w:tr w:rsidR="008E00AD" w:rsidRPr="00CC5112" w:rsidTr="00D036A7">
        <w:trPr>
          <w:trHeight w:val="420"/>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8E00AD" w:rsidRPr="00CC5112" w:rsidRDefault="008E00AD" w:rsidP="008E00AD">
            <w:pPr>
              <w:suppressAutoHyphens w:val="0"/>
              <w:rPr>
                <w:color w:val="000000"/>
                <w:lang w:eastAsia="lt-LT"/>
              </w:rPr>
            </w:pPr>
            <w:r w:rsidRPr="00CC5112">
              <w:rPr>
                <w:color w:val="000000"/>
                <w:lang w:eastAsia="lt-LT"/>
              </w:rPr>
              <w:t> </w:t>
            </w:r>
          </w:p>
        </w:tc>
        <w:tc>
          <w:tcPr>
            <w:tcW w:w="8894" w:type="dxa"/>
            <w:gridSpan w:val="2"/>
            <w:tcBorders>
              <w:top w:val="single" w:sz="4" w:space="0" w:color="auto"/>
              <w:left w:val="nil"/>
              <w:bottom w:val="single" w:sz="4" w:space="0" w:color="auto"/>
              <w:right w:val="single" w:sz="4" w:space="0" w:color="000000"/>
            </w:tcBorders>
            <w:shd w:val="clear" w:color="000000" w:fill="D9D9D9"/>
            <w:vAlign w:val="bottom"/>
            <w:hideMark/>
          </w:tcPr>
          <w:p w:rsidR="008E00AD" w:rsidRPr="00CC5112" w:rsidRDefault="008E00AD" w:rsidP="00087D99">
            <w:pPr>
              <w:suppressAutoHyphens w:val="0"/>
              <w:rPr>
                <w:color w:val="000000"/>
                <w:lang w:eastAsia="lt-LT"/>
              </w:rPr>
            </w:pPr>
            <w:r w:rsidRPr="00CC5112">
              <w:rPr>
                <w:color w:val="000000"/>
                <w:lang w:eastAsia="lt-LT"/>
              </w:rPr>
              <w:t xml:space="preserve"> Kontroliuojamos viešosios įstaigos, priskiriamos prie viešojo sektoriaus subjektų</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94</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VšĮ Šiaulių reabilitacijos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Pramonės g. 15A</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95</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VšĮ Greitosios medicinos pagalbos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Vytauto g. 101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96</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VšĮ Dainų pirminės sveikatos priežiūros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Aido g. 18</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97</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VšĮ Šiaulių centro poliklinika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Vytauto g. 101</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98</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VšĮ Ilgalaikio gydymo ir geriatrijos centras</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Vilniaus g. 125</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jc w:val="right"/>
              <w:rPr>
                <w:color w:val="000000"/>
                <w:lang w:eastAsia="lt-LT"/>
              </w:rPr>
            </w:pPr>
            <w:r w:rsidRPr="00CC5112">
              <w:rPr>
                <w:color w:val="000000"/>
                <w:lang w:eastAsia="lt-LT"/>
              </w:rPr>
              <w:t>99</w:t>
            </w:r>
          </w:p>
        </w:tc>
        <w:tc>
          <w:tcPr>
            <w:tcW w:w="5660"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VšĮ Šiaulių universiteto gimnazija</w:t>
            </w:r>
          </w:p>
        </w:tc>
        <w:tc>
          <w:tcPr>
            <w:tcW w:w="3234" w:type="dxa"/>
            <w:tcBorders>
              <w:top w:val="nil"/>
              <w:left w:val="nil"/>
              <w:bottom w:val="single" w:sz="4" w:space="0" w:color="auto"/>
              <w:right w:val="single" w:sz="4" w:space="0" w:color="auto"/>
            </w:tcBorders>
            <w:shd w:val="clear" w:color="auto" w:fill="auto"/>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Dainų g. 33</w:t>
            </w:r>
          </w:p>
        </w:tc>
      </w:tr>
      <w:tr w:rsidR="008E00AD" w:rsidRPr="00CC5112" w:rsidTr="00D036A7">
        <w:trPr>
          <w:trHeight w:val="315"/>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8E00AD" w:rsidRPr="00CC5112" w:rsidRDefault="008E00AD" w:rsidP="008E00AD">
            <w:pPr>
              <w:suppressAutoHyphens w:val="0"/>
              <w:rPr>
                <w:color w:val="000000"/>
                <w:lang w:eastAsia="lt-LT"/>
              </w:rPr>
            </w:pPr>
            <w:r w:rsidRPr="00CC5112">
              <w:rPr>
                <w:color w:val="000000"/>
                <w:lang w:eastAsia="lt-LT"/>
              </w:rPr>
              <w:t> </w:t>
            </w:r>
          </w:p>
        </w:tc>
        <w:tc>
          <w:tcPr>
            <w:tcW w:w="8894"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8E00AD" w:rsidRPr="00CC5112" w:rsidRDefault="008E00AD" w:rsidP="008E00AD">
            <w:pPr>
              <w:suppressAutoHyphens w:val="0"/>
              <w:rPr>
                <w:color w:val="000000"/>
                <w:lang w:eastAsia="lt-LT"/>
              </w:rPr>
            </w:pPr>
            <w:r w:rsidRPr="00CC5112">
              <w:rPr>
                <w:color w:val="000000"/>
                <w:lang w:eastAsia="lt-LT"/>
              </w:rPr>
              <w:t xml:space="preserve"> Administruojami išteklių fondai</w:t>
            </w:r>
          </w:p>
        </w:tc>
      </w:tr>
      <w:tr w:rsidR="00C62519" w:rsidRPr="00CC5112" w:rsidTr="00C62519">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62519" w:rsidRPr="00CC5112" w:rsidRDefault="00C62519" w:rsidP="008E00AD">
            <w:pPr>
              <w:suppressAutoHyphens w:val="0"/>
              <w:jc w:val="right"/>
              <w:rPr>
                <w:color w:val="000000"/>
                <w:lang w:eastAsia="lt-LT"/>
              </w:rPr>
            </w:pPr>
            <w:r w:rsidRPr="00CC5112">
              <w:rPr>
                <w:color w:val="000000"/>
                <w:lang w:eastAsia="lt-LT"/>
              </w:rPr>
              <w:t>100</w:t>
            </w:r>
          </w:p>
        </w:tc>
        <w:tc>
          <w:tcPr>
            <w:tcW w:w="5660" w:type="dxa"/>
            <w:tcBorders>
              <w:top w:val="nil"/>
              <w:left w:val="nil"/>
              <w:bottom w:val="single" w:sz="4" w:space="0" w:color="auto"/>
              <w:right w:val="single" w:sz="4" w:space="0" w:color="auto"/>
            </w:tcBorders>
            <w:shd w:val="clear" w:color="auto" w:fill="auto"/>
            <w:noWrap/>
            <w:vAlign w:val="bottom"/>
          </w:tcPr>
          <w:p w:rsidR="00C62519" w:rsidRPr="00CC5112" w:rsidRDefault="00C62519" w:rsidP="008A0D44">
            <w:pPr>
              <w:suppressAutoHyphens w:val="0"/>
              <w:rPr>
                <w:color w:val="000000"/>
                <w:lang w:eastAsia="lt-LT"/>
              </w:rPr>
            </w:pPr>
            <w:r w:rsidRPr="00CC5112">
              <w:rPr>
                <w:color w:val="000000"/>
                <w:lang w:eastAsia="lt-LT"/>
              </w:rPr>
              <w:t>Šiaulių miesto savivaldybės iždas</w:t>
            </w:r>
          </w:p>
        </w:tc>
        <w:tc>
          <w:tcPr>
            <w:tcW w:w="3234" w:type="dxa"/>
            <w:tcBorders>
              <w:top w:val="nil"/>
              <w:left w:val="nil"/>
              <w:bottom w:val="single" w:sz="4" w:space="0" w:color="auto"/>
              <w:right w:val="single" w:sz="4" w:space="0" w:color="auto"/>
            </w:tcBorders>
            <w:shd w:val="clear" w:color="auto" w:fill="auto"/>
            <w:noWrap/>
            <w:vAlign w:val="bottom"/>
          </w:tcPr>
          <w:p w:rsidR="00C62519" w:rsidRPr="00CC5112" w:rsidRDefault="00C62519" w:rsidP="008A0D44">
            <w:pPr>
              <w:suppressAutoHyphens w:val="0"/>
              <w:rPr>
                <w:color w:val="000000"/>
                <w:lang w:eastAsia="lt-LT"/>
              </w:rPr>
            </w:pPr>
            <w:r w:rsidRPr="00CC5112">
              <w:rPr>
                <w:color w:val="000000"/>
                <w:lang w:eastAsia="lt-LT"/>
              </w:rPr>
              <w:t> Vasario 16-osios g. 62</w:t>
            </w:r>
          </w:p>
        </w:tc>
      </w:tr>
    </w:tbl>
    <w:p w:rsidR="008E00AD" w:rsidRPr="00CC5112" w:rsidRDefault="008E00AD" w:rsidP="00722E97">
      <w:pPr>
        <w:pStyle w:val="Pagrindinistekstas"/>
        <w:spacing w:after="0"/>
        <w:jc w:val="both"/>
      </w:pPr>
    </w:p>
    <w:p w:rsidR="00CF5AA9" w:rsidRPr="00CC5112" w:rsidRDefault="00CF5AA9" w:rsidP="00ED3C52">
      <w:pPr>
        <w:pStyle w:val="Pagrindinistekstas"/>
        <w:spacing w:after="0"/>
        <w:ind w:firstLine="1134"/>
        <w:jc w:val="both"/>
      </w:pPr>
      <w:r w:rsidRPr="00CC5112">
        <w:t>Savivaldybės kontroliuojamų viešųjų įstaigų valdomų akcijų dalis yra 100 proc</w:t>
      </w:r>
      <w:r w:rsidR="00EE5BF3" w:rsidRPr="00CC5112">
        <w:t>.</w:t>
      </w:r>
      <w:r w:rsidR="007A2073" w:rsidRPr="00CC5112">
        <w:t>:</w:t>
      </w:r>
      <w:r w:rsidR="00087D99" w:rsidRPr="00CC5112">
        <w:t xml:space="preserve"> – VŠĮ „Šiaulių reabilitacijos centras, VŠĮ „Greitosios medicinos pagalbos centras, VŠĮ Dainų pirminės</w:t>
      </w:r>
      <w:r w:rsidR="00771246" w:rsidRPr="00CC5112">
        <w:t xml:space="preserve"> sveikatos priežiūros centras, VŠĮ Šiaulių centro poliklinika, VŠĮ Ilgalaikio gydymo ir geriatrijos centras.</w:t>
      </w:r>
      <w:r w:rsidRPr="00CC5112">
        <w:t xml:space="preserve"> Viešosios įstaigos Šiaulių universiteto gimnazijos </w:t>
      </w:r>
      <w:r w:rsidR="00771246" w:rsidRPr="00CC5112">
        <w:t xml:space="preserve">valdomų akcijų dalis </w:t>
      </w:r>
      <w:r w:rsidRPr="00CC5112">
        <w:t>66,66 proc.</w:t>
      </w:r>
    </w:p>
    <w:p w:rsidR="00CF5AA9" w:rsidRPr="00CC5112" w:rsidRDefault="00CF5AA9" w:rsidP="00D036A7">
      <w:pPr>
        <w:pStyle w:val="Pagrindinistekstas"/>
        <w:spacing w:after="0"/>
        <w:jc w:val="both"/>
      </w:pPr>
    </w:p>
    <w:p w:rsidR="00D036A7" w:rsidRPr="00CC5112" w:rsidRDefault="00D036A7" w:rsidP="00D036A7">
      <w:pPr>
        <w:pStyle w:val="Pagrindinistekstas"/>
        <w:spacing w:after="0"/>
        <w:jc w:val="both"/>
      </w:pPr>
      <w:r w:rsidRPr="00CC5112">
        <w:t>2 lentelė. Šiaulių miesto savivaldybės kontroliuojami, asocijuoti ir kiti subjektai.</w:t>
      </w:r>
    </w:p>
    <w:tbl>
      <w:tblPr>
        <w:tblW w:w="9654" w:type="dxa"/>
        <w:tblInd w:w="93" w:type="dxa"/>
        <w:tblLook w:val="04A0" w:firstRow="1" w:lastRow="0" w:firstColumn="1" w:lastColumn="0" w:noHBand="0" w:noVBand="1"/>
      </w:tblPr>
      <w:tblGrid>
        <w:gridCol w:w="760"/>
        <w:gridCol w:w="3791"/>
        <w:gridCol w:w="2835"/>
        <w:gridCol w:w="2268"/>
      </w:tblGrid>
      <w:tr w:rsidR="00771246" w:rsidRPr="00CC5112" w:rsidTr="00ED5339">
        <w:trPr>
          <w:trHeight w:val="315"/>
        </w:trPr>
        <w:tc>
          <w:tcPr>
            <w:tcW w:w="7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771246" w:rsidRPr="00CC5112" w:rsidRDefault="00771246" w:rsidP="00D036A7">
            <w:pPr>
              <w:suppressAutoHyphens w:val="0"/>
              <w:rPr>
                <w:color w:val="000000"/>
                <w:lang w:eastAsia="lt-LT"/>
              </w:rPr>
            </w:pPr>
            <w:r w:rsidRPr="00CC5112">
              <w:rPr>
                <w:color w:val="000000"/>
                <w:lang w:eastAsia="lt-LT"/>
              </w:rPr>
              <w:t> </w:t>
            </w:r>
          </w:p>
        </w:tc>
        <w:tc>
          <w:tcPr>
            <w:tcW w:w="3791" w:type="dxa"/>
            <w:tcBorders>
              <w:top w:val="single" w:sz="4" w:space="0" w:color="auto"/>
              <w:left w:val="nil"/>
              <w:bottom w:val="single" w:sz="4" w:space="0" w:color="auto"/>
              <w:right w:val="single" w:sz="4" w:space="0" w:color="auto"/>
            </w:tcBorders>
            <w:shd w:val="clear" w:color="000000" w:fill="D9D9D9"/>
            <w:noWrap/>
            <w:vAlign w:val="bottom"/>
            <w:hideMark/>
          </w:tcPr>
          <w:p w:rsidR="00771246" w:rsidRPr="00CC5112" w:rsidRDefault="00771246" w:rsidP="00D036A7">
            <w:pPr>
              <w:suppressAutoHyphens w:val="0"/>
              <w:rPr>
                <w:color w:val="000000"/>
                <w:lang w:eastAsia="lt-LT"/>
              </w:rPr>
            </w:pPr>
            <w:r w:rsidRPr="00CC5112">
              <w:rPr>
                <w:color w:val="000000"/>
                <w:lang w:eastAsia="lt-LT"/>
              </w:rPr>
              <w:t xml:space="preserve"> Kontroliuojamos viešosios įstaigos, nepriskiriamos prie viešojo sektoriaus subjektų</w:t>
            </w:r>
          </w:p>
        </w:tc>
        <w:tc>
          <w:tcPr>
            <w:tcW w:w="2835" w:type="dxa"/>
            <w:tcBorders>
              <w:top w:val="single" w:sz="4" w:space="0" w:color="auto"/>
              <w:left w:val="nil"/>
              <w:bottom w:val="single" w:sz="4" w:space="0" w:color="auto"/>
              <w:right w:val="single" w:sz="4" w:space="0" w:color="auto"/>
            </w:tcBorders>
            <w:shd w:val="clear" w:color="000000" w:fill="D9D9D9"/>
            <w:noWrap/>
            <w:vAlign w:val="bottom"/>
          </w:tcPr>
          <w:p w:rsidR="00771246" w:rsidRPr="00CC5112" w:rsidRDefault="00771246" w:rsidP="00D036A7">
            <w:pPr>
              <w:suppressAutoHyphens w:val="0"/>
              <w:rPr>
                <w:color w:val="000000"/>
                <w:lang w:eastAsia="lt-LT"/>
              </w:rPr>
            </w:pPr>
            <w:r w:rsidRPr="00CC5112">
              <w:rPr>
                <w:color w:val="000000"/>
                <w:lang w:eastAsia="lt-LT"/>
              </w:rPr>
              <w:t>Valdomų akcijų dalis (dalininko įnašų) dalis procentais</w:t>
            </w:r>
          </w:p>
        </w:tc>
        <w:tc>
          <w:tcPr>
            <w:tcW w:w="2268" w:type="dxa"/>
            <w:tcBorders>
              <w:top w:val="single" w:sz="4" w:space="0" w:color="auto"/>
              <w:left w:val="nil"/>
              <w:bottom w:val="single" w:sz="4" w:space="0" w:color="auto"/>
              <w:right w:val="single" w:sz="4" w:space="0" w:color="auto"/>
            </w:tcBorders>
            <w:shd w:val="clear" w:color="000000" w:fill="D9D9D9"/>
            <w:vAlign w:val="bottom"/>
          </w:tcPr>
          <w:p w:rsidR="00771246" w:rsidRPr="00CC5112" w:rsidRDefault="00771246" w:rsidP="00771246">
            <w:pPr>
              <w:suppressAutoHyphens w:val="0"/>
              <w:rPr>
                <w:color w:val="000000"/>
                <w:lang w:eastAsia="lt-LT"/>
              </w:rPr>
            </w:pPr>
            <w:r w:rsidRPr="00CC5112">
              <w:rPr>
                <w:color w:val="000000"/>
                <w:lang w:eastAsia="lt-LT"/>
              </w:rPr>
              <w:t> Buveinės adresas</w:t>
            </w:r>
          </w:p>
        </w:tc>
      </w:tr>
      <w:tr w:rsidR="00C62519" w:rsidRPr="00CC5112" w:rsidTr="00C62519">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62519" w:rsidRPr="00CC5112" w:rsidRDefault="00C62519" w:rsidP="00D036A7">
            <w:pPr>
              <w:suppressAutoHyphens w:val="0"/>
              <w:jc w:val="right"/>
              <w:rPr>
                <w:color w:val="000000"/>
                <w:lang w:eastAsia="lt-LT"/>
              </w:rPr>
            </w:pPr>
            <w:r w:rsidRPr="00CC5112">
              <w:rPr>
                <w:color w:val="000000"/>
                <w:lang w:eastAsia="lt-LT"/>
              </w:rPr>
              <w:t>1</w:t>
            </w:r>
          </w:p>
        </w:tc>
        <w:tc>
          <w:tcPr>
            <w:tcW w:w="3791" w:type="dxa"/>
            <w:tcBorders>
              <w:top w:val="nil"/>
              <w:left w:val="nil"/>
              <w:bottom w:val="single" w:sz="4" w:space="0" w:color="auto"/>
              <w:right w:val="single" w:sz="4" w:space="0" w:color="auto"/>
            </w:tcBorders>
            <w:shd w:val="clear" w:color="auto" w:fill="auto"/>
            <w:noWrap/>
            <w:vAlign w:val="bottom"/>
          </w:tcPr>
          <w:p w:rsidR="00C62519" w:rsidRPr="00CC5112" w:rsidRDefault="00C62519" w:rsidP="008A0D44">
            <w:pPr>
              <w:suppressAutoHyphens w:val="0"/>
              <w:rPr>
                <w:color w:val="000000"/>
                <w:lang w:eastAsia="lt-LT"/>
              </w:rPr>
            </w:pPr>
            <w:r w:rsidRPr="00CC5112">
              <w:rPr>
                <w:color w:val="000000"/>
                <w:lang w:eastAsia="lt-LT"/>
              </w:rPr>
              <w:t xml:space="preserve"> VšĮ Verslo inkubatorius</w:t>
            </w:r>
          </w:p>
        </w:tc>
        <w:tc>
          <w:tcPr>
            <w:tcW w:w="2835" w:type="dxa"/>
            <w:tcBorders>
              <w:top w:val="nil"/>
              <w:left w:val="nil"/>
              <w:bottom w:val="single" w:sz="4" w:space="0" w:color="auto"/>
              <w:right w:val="single" w:sz="4" w:space="0" w:color="auto"/>
            </w:tcBorders>
            <w:shd w:val="clear" w:color="auto" w:fill="auto"/>
            <w:noWrap/>
            <w:vAlign w:val="bottom"/>
          </w:tcPr>
          <w:p w:rsidR="00C62519" w:rsidRPr="00CC5112" w:rsidRDefault="00C62519" w:rsidP="008A0D44">
            <w:pPr>
              <w:suppressAutoHyphens w:val="0"/>
              <w:jc w:val="center"/>
              <w:rPr>
                <w:color w:val="000000"/>
                <w:lang w:eastAsia="lt-LT"/>
              </w:rPr>
            </w:pPr>
            <w:r w:rsidRPr="00CC5112">
              <w:rPr>
                <w:color w:val="000000"/>
                <w:lang w:eastAsia="lt-LT"/>
              </w:rPr>
              <w:t>100,00</w:t>
            </w:r>
          </w:p>
        </w:tc>
        <w:tc>
          <w:tcPr>
            <w:tcW w:w="2268" w:type="dxa"/>
            <w:tcBorders>
              <w:top w:val="nil"/>
              <w:left w:val="nil"/>
              <w:bottom w:val="single" w:sz="4" w:space="0" w:color="auto"/>
              <w:right w:val="single" w:sz="4" w:space="0" w:color="auto"/>
            </w:tcBorders>
            <w:vAlign w:val="bottom"/>
          </w:tcPr>
          <w:p w:rsidR="00C62519" w:rsidRPr="00CC5112" w:rsidRDefault="00C62519" w:rsidP="008A0D44">
            <w:pPr>
              <w:suppressAutoHyphens w:val="0"/>
              <w:rPr>
                <w:color w:val="000000"/>
                <w:lang w:eastAsia="lt-LT"/>
              </w:rPr>
            </w:pPr>
            <w:r w:rsidRPr="00CC5112">
              <w:rPr>
                <w:color w:val="000000"/>
                <w:lang w:eastAsia="lt-LT"/>
              </w:rPr>
              <w:t xml:space="preserve"> Aušros alėja 64</w:t>
            </w:r>
          </w:p>
        </w:tc>
      </w:tr>
      <w:tr w:rsidR="00C62519" w:rsidRPr="00CC5112" w:rsidTr="00C62519">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62519" w:rsidRPr="00CC5112" w:rsidRDefault="00C62519" w:rsidP="00D036A7">
            <w:pPr>
              <w:suppressAutoHyphens w:val="0"/>
              <w:jc w:val="right"/>
              <w:rPr>
                <w:color w:val="000000"/>
                <w:lang w:eastAsia="lt-LT"/>
              </w:rPr>
            </w:pPr>
            <w:r w:rsidRPr="00CC5112">
              <w:rPr>
                <w:color w:val="000000"/>
                <w:lang w:eastAsia="lt-LT"/>
              </w:rPr>
              <w:t>2</w:t>
            </w:r>
          </w:p>
        </w:tc>
        <w:tc>
          <w:tcPr>
            <w:tcW w:w="3791" w:type="dxa"/>
            <w:tcBorders>
              <w:top w:val="nil"/>
              <w:left w:val="nil"/>
              <w:bottom w:val="single" w:sz="4" w:space="0" w:color="auto"/>
              <w:right w:val="single" w:sz="4" w:space="0" w:color="auto"/>
            </w:tcBorders>
            <w:shd w:val="clear" w:color="auto" w:fill="auto"/>
            <w:noWrap/>
            <w:vAlign w:val="bottom"/>
          </w:tcPr>
          <w:p w:rsidR="00C62519" w:rsidRPr="00CC5112" w:rsidRDefault="00C62519" w:rsidP="008A0D44">
            <w:pPr>
              <w:suppressAutoHyphens w:val="0"/>
              <w:rPr>
                <w:color w:val="000000"/>
                <w:lang w:eastAsia="lt-LT"/>
              </w:rPr>
            </w:pPr>
            <w:r w:rsidRPr="00CC5112">
              <w:rPr>
                <w:color w:val="000000"/>
                <w:lang w:eastAsia="lt-LT"/>
              </w:rPr>
              <w:t xml:space="preserve"> VšĮ Šiaulių regiono plėtros agentūra</w:t>
            </w:r>
          </w:p>
        </w:tc>
        <w:tc>
          <w:tcPr>
            <w:tcW w:w="2835" w:type="dxa"/>
            <w:tcBorders>
              <w:top w:val="nil"/>
              <w:left w:val="nil"/>
              <w:bottom w:val="single" w:sz="4" w:space="0" w:color="auto"/>
              <w:right w:val="single" w:sz="4" w:space="0" w:color="auto"/>
            </w:tcBorders>
            <w:shd w:val="clear" w:color="auto" w:fill="auto"/>
            <w:noWrap/>
            <w:vAlign w:val="bottom"/>
          </w:tcPr>
          <w:p w:rsidR="00C62519" w:rsidRPr="00CC5112" w:rsidRDefault="00EA77D3" w:rsidP="008A0D44">
            <w:pPr>
              <w:suppressAutoHyphens w:val="0"/>
              <w:jc w:val="center"/>
              <w:rPr>
                <w:color w:val="000000"/>
                <w:lang w:eastAsia="lt-LT"/>
              </w:rPr>
            </w:pPr>
            <w:r w:rsidRPr="00CC5112">
              <w:rPr>
                <w:color w:val="000000"/>
                <w:lang w:eastAsia="lt-LT"/>
              </w:rPr>
              <w:t>69,13</w:t>
            </w:r>
          </w:p>
        </w:tc>
        <w:tc>
          <w:tcPr>
            <w:tcW w:w="2268" w:type="dxa"/>
            <w:tcBorders>
              <w:top w:val="nil"/>
              <w:left w:val="nil"/>
              <w:bottom w:val="single" w:sz="4" w:space="0" w:color="auto"/>
              <w:right w:val="single" w:sz="4" w:space="0" w:color="auto"/>
            </w:tcBorders>
            <w:vAlign w:val="bottom"/>
          </w:tcPr>
          <w:p w:rsidR="00C62519" w:rsidRPr="00CC5112" w:rsidRDefault="00C62519" w:rsidP="008A0D44">
            <w:pPr>
              <w:suppressAutoHyphens w:val="0"/>
              <w:rPr>
                <w:color w:val="000000"/>
                <w:lang w:eastAsia="lt-LT"/>
              </w:rPr>
            </w:pPr>
            <w:r w:rsidRPr="00CC5112">
              <w:rPr>
                <w:color w:val="000000"/>
                <w:lang w:eastAsia="lt-LT"/>
              </w:rPr>
              <w:t xml:space="preserve"> Vilniaus g. 100</w:t>
            </w:r>
          </w:p>
        </w:tc>
      </w:tr>
      <w:tr w:rsidR="00C62519" w:rsidRPr="00CC5112" w:rsidTr="00ED5339">
        <w:trPr>
          <w:trHeight w:val="315"/>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C62519" w:rsidRPr="00CC5112" w:rsidRDefault="00C62519" w:rsidP="00D036A7">
            <w:pPr>
              <w:suppressAutoHyphens w:val="0"/>
              <w:rPr>
                <w:color w:val="000000"/>
                <w:lang w:eastAsia="lt-LT"/>
              </w:rPr>
            </w:pPr>
            <w:r w:rsidRPr="00CC5112">
              <w:rPr>
                <w:color w:val="000000"/>
                <w:lang w:eastAsia="lt-LT"/>
              </w:rPr>
              <w:t> </w:t>
            </w:r>
          </w:p>
        </w:tc>
        <w:tc>
          <w:tcPr>
            <w:tcW w:w="6626"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C62519" w:rsidRPr="00CC5112" w:rsidRDefault="00C62519" w:rsidP="00D036A7">
            <w:pPr>
              <w:suppressAutoHyphens w:val="0"/>
              <w:rPr>
                <w:color w:val="000000"/>
                <w:lang w:eastAsia="lt-LT"/>
              </w:rPr>
            </w:pPr>
            <w:r w:rsidRPr="00CC5112">
              <w:rPr>
                <w:color w:val="000000"/>
                <w:lang w:eastAsia="lt-LT"/>
              </w:rPr>
              <w:t xml:space="preserve"> Valstybės ir savivaldybių įmonės</w:t>
            </w:r>
          </w:p>
        </w:tc>
        <w:tc>
          <w:tcPr>
            <w:tcW w:w="2268" w:type="dxa"/>
            <w:tcBorders>
              <w:top w:val="single" w:sz="4" w:space="0" w:color="auto"/>
              <w:left w:val="nil"/>
              <w:bottom w:val="single" w:sz="4" w:space="0" w:color="auto"/>
              <w:right w:val="single" w:sz="4" w:space="0" w:color="000000"/>
            </w:tcBorders>
            <w:shd w:val="clear" w:color="000000" w:fill="D9D9D9"/>
          </w:tcPr>
          <w:p w:rsidR="00C62519" w:rsidRPr="00CC5112" w:rsidRDefault="00C62519" w:rsidP="00D036A7">
            <w:pPr>
              <w:suppressAutoHyphens w:val="0"/>
              <w:rPr>
                <w:color w:val="000000"/>
                <w:lang w:eastAsia="lt-LT"/>
              </w:rPr>
            </w:pPr>
          </w:p>
        </w:tc>
      </w:tr>
      <w:tr w:rsidR="00C62519" w:rsidRPr="00CC5112" w:rsidTr="00ED5339">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62519" w:rsidRPr="00CC5112" w:rsidRDefault="00EA77D3" w:rsidP="00D036A7">
            <w:pPr>
              <w:suppressAutoHyphens w:val="0"/>
              <w:jc w:val="right"/>
              <w:rPr>
                <w:color w:val="000000"/>
                <w:lang w:eastAsia="lt-LT"/>
              </w:rPr>
            </w:pPr>
            <w:r w:rsidRPr="00CC5112">
              <w:rPr>
                <w:color w:val="000000"/>
                <w:lang w:eastAsia="lt-LT"/>
              </w:rPr>
              <w:t>3</w:t>
            </w:r>
          </w:p>
        </w:tc>
        <w:tc>
          <w:tcPr>
            <w:tcW w:w="3791" w:type="dxa"/>
            <w:tcBorders>
              <w:top w:val="nil"/>
              <w:left w:val="nil"/>
              <w:bottom w:val="single" w:sz="4" w:space="0" w:color="auto"/>
              <w:right w:val="single" w:sz="4" w:space="0" w:color="auto"/>
            </w:tcBorders>
            <w:shd w:val="clear" w:color="auto" w:fill="auto"/>
            <w:noWrap/>
            <w:vAlign w:val="bottom"/>
            <w:hideMark/>
          </w:tcPr>
          <w:p w:rsidR="00C62519" w:rsidRPr="00CC5112" w:rsidRDefault="00C62519" w:rsidP="00D036A7">
            <w:pPr>
              <w:suppressAutoHyphens w:val="0"/>
              <w:rPr>
                <w:color w:val="000000"/>
                <w:lang w:eastAsia="lt-LT"/>
              </w:rPr>
            </w:pPr>
            <w:r w:rsidRPr="00CC5112">
              <w:rPr>
                <w:color w:val="000000"/>
                <w:lang w:eastAsia="lt-LT"/>
              </w:rPr>
              <w:t xml:space="preserve"> Savivaldybės įmonė Šiaulių oro uostas</w:t>
            </w:r>
          </w:p>
        </w:tc>
        <w:tc>
          <w:tcPr>
            <w:tcW w:w="2835" w:type="dxa"/>
            <w:tcBorders>
              <w:top w:val="nil"/>
              <w:left w:val="nil"/>
              <w:bottom w:val="single" w:sz="4" w:space="0" w:color="auto"/>
              <w:right w:val="single" w:sz="4" w:space="0" w:color="auto"/>
            </w:tcBorders>
            <w:shd w:val="clear" w:color="auto" w:fill="auto"/>
            <w:noWrap/>
            <w:vAlign w:val="bottom"/>
            <w:hideMark/>
          </w:tcPr>
          <w:p w:rsidR="00C62519" w:rsidRPr="00CC5112" w:rsidRDefault="00C62519" w:rsidP="00771246">
            <w:pPr>
              <w:suppressAutoHyphens w:val="0"/>
              <w:rPr>
                <w:color w:val="000000"/>
                <w:lang w:eastAsia="lt-LT"/>
              </w:rPr>
            </w:pPr>
            <w:r w:rsidRPr="00CC5112">
              <w:rPr>
                <w:color w:val="000000"/>
                <w:lang w:eastAsia="lt-LT"/>
              </w:rPr>
              <w:t xml:space="preserve"> </w:t>
            </w:r>
          </w:p>
        </w:tc>
        <w:tc>
          <w:tcPr>
            <w:tcW w:w="2268" w:type="dxa"/>
            <w:tcBorders>
              <w:top w:val="nil"/>
              <w:left w:val="nil"/>
              <w:bottom w:val="single" w:sz="4" w:space="0" w:color="auto"/>
              <w:right w:val="single" w:sz="4" w:space="0" w:color="auto"/>
            </w:tcBorders>
          </w:tcPr>
          <w:p w:rsidR="00C62519" w:rsidRPr="00CC5112" w:rsidRDefault="00C62519" w:rsidP="00D036A7">
            <w:pPr>
              <w:suppressAutoHyphens w:val="0"/>
              <w:rPr>
                <w:color w:val="000000"/>
                <w:lang w:eastAsia="lt-LT"/>
              </w:rPr>
            </w:pPr>
            <w:r w:rsidRPr="00CC5112">
              <w:rPr>
                <w:color w:val="000000"/>
                <w:lang w:eastAsia="lt-LT"/>
              </w:rPr>
              <w:t>Lakūnų g. 4</w:t>
            </w:r>
          </w:p>
        </w:tc>
      </w:tr>
      <w:tr w:rsidR="00C62519" w:rsidRPr="00CC5112" w:rsidTr="00ED5339">
        <w:trPr>
          <w:trHeight w:val="315"/>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C62519" w:rsidRPr="00CC5112" w:rsidRDefault="00C62519" w:rsidP="00D036A7">
            <w:pPr>
              <w:suppressAutoHyphens w:val="0"/>
              <w:rPr>
                <w:color w:val="000000"/>
                <w:lang w:eastAsia="lt-LT"/>
              </w:rPr>
            </w:pPr>
            <w:r w:rsidRPr="00CC5112">
              <w:rPr>
                <w:color w:val="000000"/>
                <w:lang w:eastAsia="lt-LT"/>
              </w:rPr>
              <w:t> </w:t>
            </w:r>
          </w:p>
        </w:tc>
        <w:tc>
          <w:tcPr>
            <w:tcW w:w="6626"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C62519" w:rsidRPr="00CC5112" w:rsidRDefault="00C62519" w:rsidP="00D036A7">
            <w:pPr>
              <w:suppressAutoHyphens w:val="0"/>
              <w:rPr>
                <w:color w:val="000000"/>
                <w:lang w:eastAsia="lt-LT"/>
              </w:rPr>
            </w:pPr>
            <w:r w:rsidRPr="00CC5112">
              <w:rPr>
                <w:color w:val="000000"/>
                <w:lang w:eastAsia="lt-LT"/>
              </w:rPr>
              <w:t xml:space="preserve"> Kontroliuojamos akcinės ir uždarosios akcinės bendrovės</w:t>
            </w:r>
          </w:p>
        </w:tc>
        <w:tc>
          <w:tcPr>
            <w:tcW w:w="2268" w:type="dxa"/>
            <w:tcBorders>
              <w:top w:val="single" w:sz="4" w:space="0" w:color="auto"/>
              <w:left w:val="nil"/>
              <w:bottom w:val="single" w:sz="4" w:space="0" w:color="auto"/>
              <w:right w:val="single" w:sz="4" w:space="0" w:color="000000"/>
            </w:tcBorders>
            <w:shd w:val="clear" w:color="000000" w:fill="D9D9D9"/>
          </w:tcPr>
          <w:p w:rsidR="00C62519" w:rsidRPr="00CC5112" w:rsidRDefault="00C62519" w:rsidP="00D036A7">
            <w:pPr>
              <w:suppressAutoHyphens w:val="0"/>
              <w:rPr>
                <w:color w:val="000000"/>
                <w:lang w:eastAsia="lt-LT"/>
              </w:rPr>
            </w:pPr>
          </w:p>
        </w:tc>
      </w:tr>
      <w:tr w:rsidR="00C62519" w:rsidRPr="00CC5112" w:rsidTr="00EA77D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tcPr>
          <w:p w:rsidR="00C62519" w:rsidRPr="00CC5112" w:rsidRDefault="00EA77D3" w:rsidP="00D036A7">
            <w:pPr>
              <w:suppressAutoHyphens w:val="0"/>
              <w:jc w:val="right"/>
              <w:rPr>
                <w:color w:val="000000"/>
                <w:lang w:eastAsia="lt-LT"/>
              </w:rPr>
            </w:pPr>
            <w:r w:rsidRPr="00CC5112">
              <w:rPr>
                <w:color w:val="000000"/>
                <w:lang w:eastAsia="lt-LT"/>
              </w:rPr>
              <w:t>4</w:t>
            </w:r>
          </w:p>
        </w:tc>
        <w:tc>
          <w:tcPr>
            <w:tcW w:w="3791" w:type="dxa"/>
            <w:tcBorders>
              <w:top w:val="nil"/>
              <w:left w:val="nil"/>
              <w:bottom w:val="single" w:sz="4" w:space="0" w:color="auto"/>
              <w:right w:val="single" w:sz="4" w:space="0" w:color="auto"/>
            </w:tcBorders>
            <w:shd w:val="clear" w:color="auto" w:fill="auto"/>
            <w:noWrap/>
            <w:vAlign w:val="bottom"/>
            <w:hideMark/>
          </w:tcPr>
          <w:p w:rsidR="00C62519" w:rsidRPr="00CC5112" w:rsidRDefault="00C62519" w:rsidP="00D036A7">
            <w:pPr>
              <w:suppressAutoHyphens w:val="0"/>
              <w:rPr>
                <w:color w:val="000000"/>
                <w:lang w:eastAsia="lt-LT"/>
              </w:rPr>
            </w:pPr>
            <w:r w:rsidRPr="00CC5112">
              <w:rPr>
                <w:color w:val="000000"/>
                <w:lang w:eastAsia="lt-LT"/>
              </w:rPr>
              <w:t xml:space="preserve"> AB </w:t>
            </w:r>
            <w:r w:rsidR="00EA77D3" w:rsidRPr="00CC5112">
              <w:rPr>
                <w:color w:val="000000"/>
                <w:lang w:eastAsia="lt-LT"/>
              </w:rPr>
              <w:t>„</w:t>
            </w:r>
            <w:r w:rsidRPr="00CC5112">
              <w:rPr>
                <w:color w:val="000000"/>
                <w:lang w:eastAsia="lt-LT"/>
              </w:rPr>
              <w:t>Šiaulių energija</w:t>
            </w:r>
            <w:r w:rsidR="00EA77D3" w:rsidRPr="00CC5112">
              <w:rPr>
                <w:color w:val="000000"/>
                <w:lang w:eastAsia="lt-LT"/>
              </w:rPr>
              <w:t>“</w:t>
            </w:r>
          </w:p>
        </w:tc>
        <w:tc>
          <w:tcPr>
            <w:tcW w:w="2835" w:type="dxa"/>
            <w:tcBorders>
              <w:top w:val="nil"/>
              <w:left w:val="nil"/>
              <w:bottom w:val="single" w:sz="4" w:space="0" w:color="auto"/>
              <w:right w:val="single" w:sz="4" w:space="0" w:color="auto"/>
            </w:tcBorders>
            <w:shd w:val="clear" w:color="auto" w:fill="auto"/>
            <w:noWrap/>
            <w:vAlign w:val="bottom"/>
          </w:tcPr>
          <w:p w:rsidR="00C62519" w:rsidRPr="00CC5112" w:rsidRDefault="00C62519" w:rsidP="00771246">
            <w:pPr>
              <w:suppressAutoHyphens w:val="0"/>
              <w:jc w:val="center"/>
              <w:rPr>
                <w:color w:val="000000"/>
                <w:lang w:eastAsia="lt-LT"/>
              </w:rPr>
            </w:pPr>
            <w:r w:rsidRPr="00CC5112">
              <w:rPr>
                <w:color w:val="000000"/>
                <w:lang w:eastAsia="lt-LT"/>
              </w:rPr>
              <w:t>95,30</w:t>
            </w:r>
          </w:p>
        </w:tc>
        <w:tc>
          <w:tcPr>
            <w:tcW w:w="2268" w:type="dxa"/>
            <w:tcBorders>
              <w:top w:val="nil"/>
              <w:left w:val="nil"/>
              <w:bottom w:val="single" w:sz="4" w:space="0" w:color="auto"/>
              <w:right w:val="single" w:sz="4" w:space="0" w:color="auto"/>
            </w:tcBorders>
            <w:vAlign w:val="bottom"/>
          </w:tcPr>
          <w:p w:rsidR="00C62519" w:rsidRPr="00CC5112" w:rsidRDefault="00C62519" w:rsidP="00771246">
            <w:pPr>
              <w:suppressAutoHyphens w:val="0"/>
              <w:rPr>
                <w:color w:val="000000"/>
                <w:lang w:eastAsia="lt-LT"/>
              </w:rPr>
            </w:pPr>
            <w:r w:rsidRPr="00CC5112">
              <w:rPr>
                <w:color w:val="000000"/>
                <w:lang w:eastAsia="lt-LT"/>
              </w:rPr>
              <w:t xml:space="preserve"> Pramonės g. 10</w:t>
            </w:r>
          </w:p>
        </w:tc>
      </w:tr>
      <w:tr w:rsidR="00EA77D3" w:rsidRPr="00CC5112" w:rsidTr="00EA77D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tcPr>
          <w:p w:rsidR="00EA77D3" w:rsidRPr="00CC5112" w:rsidRDefault="00EA77D3" w:rsidP="008A0D44">
            <w:pPr>
              <w:suppressAutoHyphens w:val="0"/>
              <w:jc w:val="right"/>
              <w:rPr>
                <w:color w:val="000000"/>
                <w:lang w:eastAsia="lt-LT"/>
              </w:rPr>
            </w:pPr>
            <w:r w:rsidRPr="00CC5112">
              <w:rPr>
                <w:color w:val="000000"/>
                <w:lang w:eastAsia="lt-LT"/>
              </w:rPr>
              <w:t>5</w:t>
            </w:r>
          </w:p>
        </w:tc>
        <w:tc>
          <w:tcPr>
            <w:tcW w:w="3791" w:type="dxa"/>
            <w:tcBorders>
              <w:top w:val="nil"/>
              <w:left w:val="nil"/>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rPr>
                <w:color w:val="000000"/>
                <w:lang w:eastAsia="lt-LT"/>
              </w:rPr>
            </w:pPr>
            <w:r w:rsidRPr="00CC5112">
              <w:rPr>
                <w:color w:val="000000"/>
                <w:lang w:eastAsia="lt-LT"/>
              </w:rPr>
              <w:t xml:space="preserve"> UAB „Šiaulių vandenys“</w:t>
            </w:r>
          </w:p>
        </w:tc>
        <w:tc>
          <w:tcPr>
            <w:tcW w:w="2835" w:type="dxa"/>
            <w:tcBorders>
              <w:top w:val="nil"/>
              <w:left w:val="nil"/>
              <w:bottom w:val="single" w:sz="4" w:space="0" w:color="auto"/>
              <w:right w:val="single" w:sz="4" w:space="0" w:color="auto"/>
            </w:tcBorders>
            <w:shd w:val="clear" w:color="auto" w:fill="auto"/>
            <w:noWrap/>
            <w:vAlign w:val="bottom"/>
          </w:tcPr>
          <w:p w:rsidR="00EA77D3" w:rsidRPr="00CC5112" w:rsidRDefault="00EA77D3" w:rsidP="00771246">
            <w:pPr>
              <w:suppressAutoHyphens w:val="0"/>
              <w:jc w:val="center"/>
              <w:rPr>
                <w:color w:val="000000"/>
                <w:lang w:eastAsia="lt-LT"/>
              </w:rPr>
            </w:pPr>
            <w:r w:rsidRPr="00CC5112">
              <w:rPr>
                <w:color w:val="000000"/>
                <w:lang w:eastAsia="lt-LT"/>
              </w:rPr>
              <w:t>100,00</w:t>
            </w:r>
          </w:p>
        </w:tc>
        <w:tc>
          <w:tcPr>
            <w:tcW w:w="2268" w:type="dxa"/>
            <w:tcBorders>
              <w:top w:val="nil"/>
              <w:left w:val="nil"/>
              <w:bottom w:val="single" w:sz="4" w:space="0" w:color="auto"/>
              <w:right w:val="single" w:sz="4" w:space="0" w:color="auto"/>
            </w:tcBorders>
            <w:vAlign w:val="bottom"/>
          </w:tcPr>
          <w:p w:rsidR="00EA77D3" w:rsidRPr="00CC5112" w:rsidRDefault="00EA77D3" w:rsidP="00771246">
            <w:pPr>
              <w:suppressAutoHyphens w:val="0"/>
              <w:rPr>
                <w:color w:val="000000"/>
                <w:lang w:eastAsia="lt-LT"/>
              </w:rPr>
            </w:pPr>
            <w:r w:rsidRPr="00CC5112">
              <w:rPr>
                <w:color w:val="000000"/>
                <w:lang w:eastAsia="lt-LT"/>
              </w:rPr>
              <w:t xml:space="preserve"> Vytauto g. 103</w:t>
            </w:r>
          </w:p>
        </w:tc>
      </w:tr>
      <w:tr w:rsidR="00EA77D3" w:rsidRPr="00CC5112" w:rsidTr="00EA77D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tcPr>
          <w:p w:rsidR="00EA77D3" w:rsidRPr="00CC5112" w:rsidRDefault="00EA77D3" w:rsidP="008A0D44">
            <w:pPr>
              <w:suppressAutoHyphens w:val="0"/>
              <w:jc w:val="right"/>
              <w:rPr>
                <w:color w:val="000000"/>
                <w:lang w:eastAsia="lt-LT"/>
              </w:rPr>
            </w:pPr>
            <w:r w:rsidRPr="00CC5112">
              <w:rPr>
                <w:color w:val="000000"/>
                <w:lang w:eastAsia="lt-LT"/>
              </w:rPr>
              <w:t>6</w:t>
            </w:r>
          </w:p>
        </w:tc>
        <w:tc>
          <w:tcPr>
            <w:tcW w:w="3791" w:type="dxa"/>
            <w:tcBorders>
              <w:top w:val="nil"/>
              <w:left w:val="nil"/>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rPr>
                <w:color w:val="000000"/>
                <w:lang w:eastAsia="lt-LT"/>
              </w:rPr>
            </w:pPr>
            <w:r w:rsidRPr="00CC5112">
              <w:rPr>
                <w:color w:val="000000"/>
                <w:lang w:eastAsia="lt-LT"/>
              </w:rPr>
              <w:t xml:space="preserve"> UAB „Šiaulių gatvių apšvietimas“</w:t>
            </w:r>
          </w:p>
        </w:tc>
        <w:tc>
          <w:tcPr>
            <w:tcW w:w="2835" w:type="dxa"/>
            <w:tcBorders>
              <w:top w:val="nil"/>
              <w:left w:val="nil"/>
              <w:bottom w:val="single" w:sz="4" w:space="0" w:color="auto"/>
              <w:right w:val="single" w:sz="4" w:space="0" w:color="auto"/>
            </w:tcBorders>
            <w:shd w:val="clear" w:color="auto" w:fill="auto"/>
            <w:noWrap/>
            <w:vAlign w:val="bottom"/>
          </w:tcPr>
          <w:p w:rsidR="00EA77D3" w:rsidRPr="00CC5112" w:rsidRDefault="00EA77D3" w:rsidP="00771246">
            <w:pPr>
              <w:suppressAutoHyphens w:val="0"/>
              <w:jc w:val="center"/>
              <w:rPr>
                <w:color w:val="000000"/>
                <w:lang w:eastAsia="lt-LT"/>
              </w:rPr>
            </w:pPr>
            <w:r w:rsidRPr="00CC5112">
              <w:rPr>
                <w:color w:val="000000"/>
                <w:lang w:eastAsia="lt-LT"/>
              </w:rPr>
              <w:t>100,00</w:t>
            </w:r>
          </w:p>
        </w:tc>
        <w:tc>
          <w:tcPr>
            <w:tcW w:w="2268" w:type="dxa"/>
            <w:tcBorders>
              <w:top w:val="nil"/>
              <w:left w:val="nil"/>
              <w:bottom w:val="single" w:sz="4" w:space="0" w:color="auto"/>
              <w:right w:val="single" w:sz="4" w:space="0" w:color="auto"/>
            </w:tcBorders>
            <w:vAlign w:val="bottom"/>
          </w:tcPr>
          <w:p w:rsidR="00EA77D3" w:rsidRPr="00CC5112" w:rsidRDefault="00EA77D3" w:rsidP="00771246">
            <w:pPr>
              <w:suppressAutoHyphens w:val="0"/>
              <w:rPr>
                <w:color w:val="000000"/>
                <w:lang w:eastAsia="lt-LT"/>
              </w:rPr>
            </w:pPr>
            <w:r w:rsidRPr="00CC5112">
              <w:rPr>
                <w:color w:val="000000"/>
                <w:lang w:eastAsia="lt-LT"/>
              </w:rPr>
              <w:t xml:space="preserve"> Stadiono g. 2</w:t>
            </w:r>
          </w:p>
        </w:tc>
      </w:tr>
      <w:tr w:rsidR="00EA77D3" w:rsidRPr="00CC5112" w:rsidTr="00EA77D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tcPr>
          <w:p w:rsidR="00EA77D3" w:rsidRPr="00CC5112" w:rsidRDefault="00EA77D3" w:rsidP="008A0D44">
            <w:pPr>
              <w:suppressAutoHyphens w:val="0"/>
              <w:jc w:val="right"/>
              <w:rPr>
                <w:color w:val="000000"/>
                <w:lang w:eastAsia="lt-LT"/>
              </w:rPr>
            </w:pPr>
            <w:r w:rsidRPr="00CC5112">
              <w:rPr>
                <w:color w:val="000000"/>
                <w:lang w:eastAsia="lt-LT"/>
              </w:rPr>
              <w:t>7</w:t>
            </w:r>
          </w:p>
        </w:tc>
        <w:tc>
          <w:tcPr>
            <w:tcW w:w="3791" w:type="dxa"/>
            <w:tcBorders>
              <w:top w:val="nil"/>
              <w:left w:val="nil"/>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rPr>
                <w:color w:val="000000"/>
                <w:lang w:eastAsia="lt-LT"/>
              </w:rPr>
            </w:pPr>
            <w:r w:rsidRPr="00CC5112">
              <w:rPr>
                <w:color w:val="000000"/>
                <w:lang w:eastAsia="lt-LT"/>
              </w:rPr>
              <w:t xml:space="preserve"> UAB „Pabalių turgus“</w:t>
            </w:r>
          </w:p>
        </w:tc>
        <w:tc>
          <w:tcPr>
            <w:tcW w:w="2835" w:type="dxa"/>
            <w:tcBorders>
              <w:top w:val="nil"/>
              <w:left w:val="nil"/>
              <w:bottom w:val="single" w:sz="4" w:space="0" w:color="auto"/>
              <w:right w:val="single" w:sz="4" w:space="0" w:color="auto"/>
            </w:tcBorders>
            <w:shd w:val="clear" w:color="auto" w:fill="auto"/>
            <w:noWrap/>
            <w:vAlign w:val="bottom"/>
          </w:tcPr>
          <w:p w:rsidR="00EA77D3" w:rsidRPr="00CC5112" w:rsidRDefault="00EA77D3" w:rsidP="00771246">
            <w:pPr>
              <w:suppressAutoHyphens w:val="0"/>
              <w:jc w:val="center"/>
              <w:rPr>
                <w:color w:val="000000"/>
                <w:lang w:eastAsia="lt-LT"/>
              </w:rPr>
            </w:pPr>
            <w:r w:rsidRPr="00CC5112">
              <w:rPr>
                <w:color w:val="000000"/>
                <w:lang w:eastAsia="lt-LT"/>
              </w:rPr>
              <w:t>100,00</w:t>
            </w:r>
          </w:p>
        </w:tc>
        <w:tc>
          <w:tcPr>
            <w:tcW w:w="2268" w:type="dxa"/>
            <w:tcBorders>
              <w:top w:val="nil"/>
              <w:left w:val="nil"/>
              <w:bottom w:val="single" w:sz="4" w:space="0" w:color="auto"/>
              <w:right w:val="single" w:sz="4" w:space="0" w:color="auto"/>
            </w:tcBorders>
            <w:vAlign w:val="bottom"/>
          </w:tcPr>
          <w:p w:rsidR="00EA77D3" w:rsidRPr="00CC5112" w:rsidRDefault="00EA77D3" w:rsidP="00771246">
            <w:pPr>
              <w:suppressAutoHyphens w:val="0"/>
              <w:rPr>
                <w:color w:val="000000"/>
                <w:lang w:eastAsia="lt-LT"/>
              </w:rPr>
            </w:pPr>
            <w:r w:rsidRPr="00CC5112">
              <w:rPr>
                <w:color w:val="000000"/>
                <w:lang w:eastAsia="lt-LT"/>
              </w:rPr>
              <w:t xml:space="preserve"> Serbentų g. 92</w:t>
            </w:r>
          </w:p>
        </w:tc>
      </w:tr>
      <w:tr w:rsidR="00EA77D3" w:rsidRPr="00CC5112" w:rsidTr="00EA77D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tcPr>
          <w:p w:rsidR="00EA77D3" w:rsidRPr="00CC5112" w:rsidRDefault="00EA77D3" w:rsidP="008A0D44">
            <w:pPr>
              <w:suppressAutoHyphens w:val="0"/>
              <w:jc w:val="right"/>
              <w:rPr>
                <w:color w:val="000000"/>
                <w:lang w:eastAsia="lt-LT"/>
              </w:rPr>
            </w:pPr>
            <w:r w:rsidRPr="00CC5112">
              <w:rPr>
                <w:color w:val="000000"/>
                <w:lang w:eastAsia="lt-LT"/>
              </w:rPr>
              <w:t>8</w:t>
            </w:r>
          </w:p>
        </w:tc>
        <w:tc>
          <w:tcPr>
            <w:tcW w:w="3791" w:type="dxa"/>
            <w:tcBorders>
              <w:top w:val="nil"/>
              <w:left w:val="nil"/>
              <w:bottom w:val="single" w:sz="4" w:space="0" w:color="auto"/>
              <w:right w:val="single" w:sz="4" w:space="0" w:color="auto"/>
            </w:tcBorders>
            <w:shd w:val="clear" w:color="auto" w:fill="auto"/>
            <w:noWrap/>
            <w:vAlign w:val="bottom"/>
          </w:tcPr>
          <w:p w:rsidR="00EA77D3" w:rsidRPr="00CC5112" w:rsidRDefault="00EA77D3" w:rsidP="008A0D44">
            <w:pPr>
              <w:suppressAutoHyphens w:val="0"/>
              <w:rPr>
                <w:color w:val="000000"/>
                <w:lang w:eastAsia="lt-LT"/>
              </w:rPr>
            </w:pPr>
            <w:r w:rsidRPr="00CC5112">
              <w:rPr>
                <w:color w:val="000000"/>
                <w:lang w:eastAsia="lt-LT"/>
              </w:rPr>
              <w:t xml:space="preserve"> UAB „Žiburio knygynas“</w:t>
            </w:r>
          </w:p>
        </w:tc>
        <w:tc>
          <w:tcPr>
            <w:tcW w:w="2835" w:type="dxa"/>
            <w:tcBorders>
              <w:top w:val="nil"/>
              <w:left w:val="nil"/>
              <w:bottom w:val="single" w:sz="4" w:space="0" w:color="auto"/>
              <w:right w:val="single" w:sz="4" w:space="0" w:color="auto"/>
            </w:tcBorders>
            <w:shd w:val="clear" w:color="auto" w:fill="auto"/>
            <w:noWrap/>
            <w:vAlign w:val="bottom"/>
          </w:tcPr>
          <w:p w:rsidR="00EA77D3" w:rsidRPr="00CC5112" w:rsidRDefault="00EA77D3" w:rsidP="008A0D44">
            <w:pPr>
              <w:suppressAutoHyphens w:val="0"/>
              <w:jc w:val="center"/>
              <w:rPr>
                <w:color w:val="000000"/>
                <w:lang w:eastAsia="lt-LT"/>
              </w:rPr>
            </w:pPr>
            <w:r w:rsidRPr="00CC5112">
              <w:rPr>
                <w:color w:val="000000"/>
                <w:lang w:eastAsia="lt-LT"/>
              </w:rPr>
              <w:t>100,00</w:t>
            </w:r>
          </w:p>
        </w:tc>
        <w:tc>
          <w:tcPr>
            <w:tcW w:w="2268" w:type="dxa"/>
            <w:tcBorders>
              <w:top w:val="nil"/>
              <w:left w:val="nil"/>
              <w:bottom w:val="single" w:sz="4" w:space="0" w:color="auto"/>
              <w:right w:val="single" w:sz="4" w:space="0" w:color="auto"/>
            </w:tcBorders>
            <w:vAlign w:val="bottom"/>
          </w:tcPr>
          <w:p w:rsidR="00EA77D3" w:rsidRPr="00CC5112" w:rsidRDefault="00EA77D3" w:rsidP="008A0D44">
            <w:pPr>
              <w:suppressAutoHyphens w:val="0"/>
              <w:rPr>
                <w:color w:val="000000"/>
                <w:lang w:eastAsia="lt-LT"/>
              </w:rPr>
            </w:pPr>
            <w:r w:rsidRPr="00CC5112">
              <w:rPr>
                <w:color w:val="000000"/>
                <w:lang w:eastAsia="lt-LT"/>
              </w:rPr>
              <w:t xml:space="preserve"> Vilniaus g. 213</w:t>
            </w:r>
          </w:p>
        </w:tc>
      </w:tr>
      <w:tr w:rsidR="00EA77D3" w:rsidRPr="00CC5112" w:rsidTr="00EA77D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tcPr>
          <w:p w:rsidR="00EA77D3" w:rsidRPr="00CC5112" w:rsidRDefault="00EA77D3" w:rsidP="008A0D44">
            <w:pPr>
              <w:suppressAutoHyphens w:val="0"/>
              <w:jc w:val="right"/>
              <w:rPr>
                <w:color w:val="000000"/>
                <w:lang w:eastAsia="lt-LT"/>
              </w:rPr>
            </w:pPr>
            <w:r w:rsidRPr="00CC5112">
              <w:rPr>
                <w:color w:val="000000"/>
                <w:lang w:eastAsia="lt-LT"/>
              </w:rPr>
              <w:t>9</w:t>
            </w:r>
          </w:p>
        </w:tc>
        <w:tc>
          <w:tcPr>
            <w:tcW w:w="3791" w:type="dxa"/>
            <w:tcBorders>
              <w:top w:val="nil"/>
              <w:left w:val="nil"/>
              <w:bottom w:val="single" w:sz="4" w:space="0" w:color="auto"/>
              <w:right w:val="single" w:sz="4" w:space="0" w:color="auto"/>
            </w:tcBorders>
            <w:shd w:val="clear" w:color="auto" w:fill="auto"/>
            <w:noWrap/>
            <w:vAlign w:val="bottom"/>
          </w:tcPr>
          <w:p w:rsidR="00EA77D3" w:rsidRPr="00CC5112" w:rsidRDefault="00EA77D3" w:rsidP="008A0D44">
            <w:pPr>
              <w:suppressAutoHyphens w:val="0"/>
              <w:rPr>
                <w:color w:val="000000"/>
                <w:lang w:eastAsia="lt-LT"/>
              </w:rPr>
            </w:pPr>
            <w:r w:rsidRPr="00CC5112">
              <w:rPr>
                <w:color w:val="000000"/>
                <w:lang w:eastAsia="lt-LT"/>
              </w:rPr>
              <w:t xml:space="preserve"> UAB „Saulės dominija“</w:t>
            </w:r>
          </w:p>
        </w:tc>
        <w:tc>
          <w:tcPr>
            <w:tcW w:w="2835" w:type="dxa"/>
            <w:tcBorders>
              <w:top w:val="nil"/>
              <w:left w:val="nil"/>
              <w:bottom w:val="single" w:sz="4" w:space="0" w:color="auto"/>
              <w:right w:val="single" w:sz="4" w:space="0" w:color="auto"/>
            </w:tcBorders>
            <w:shd w:val="clear" w:color="auto" w:fill="auto"/>
            <w:noWrap/>
            <w:vAlign w:val="bottom"/>
          </w:tcPr>
          <w:p w:rsidR="00EA77D3" w:rsidRPr="00CC5112" w:rsidRDefault="00EA77D3" w:rsidP="008A0D44">
            <w:pPr>
              <w:suppressAutoHyphens w:val="0"/>
              <w:jc w:val="center"/>
              <w:rPr>
                <w:color w:val="000000"/>
                <w:lang w:eastAsia="lt-LT"/>
              </w:rPr>
            </w:pPr>
            <w:r w:rsidRPr="00CC5112">
              <w:rPr>
                <w:color w:val="000000"/>
                <w:lang w:eastAsia="lt-LT"/>
              </w:rPr>
              <w:t>100,00</w:t>
            </w:r>
          </w:p>
        </w:tc>
        <w:tc>
          <w:tcPr>
            <w:tcW w:w="2268" w:type="dxa"/>
            <w:tcBorders>
              <w:top w:val="nil"/>
              <w:left w:val="nil"/>
              <w:bottom w:val="single" w:sz="4" w:space="0" w:color="auto"/>
              <w:right w:val="single" w:sz="4" w:space="0" w:color="auto"/>
            </w:tcBorders>
            <w:vAlign w:val="bottom"/>
          </w:tcPr>
          <w:p w:rsidR="00EA77D3" w:rsidRPr="00CC5112" w:rsidRDefault="00EA77D3" w:rsidP="008A0D44">
            <w:pPr>
              <w:suppressAutoHyphens w:val="0"/>
              <w:rPr>
                <w:color w:val="000000"/>
                <w:lang w:eastAsia="lt-LT"/>
              </w:rPr>
            </w:pPr>
            <w:r w:rsidRPr="00CC5112">
              <w:rPr>
                <w:color w:val="000000"/>
                <w:lang w:eastAsia="lt-LT"/>
              </w:rPr>
              <w:t xml:space="preserve"> Aušros alėja 53</w:t>
            </w:r>
          </w:p>
        </w:tc>
      </w:tr>
      <w:tr w:rsidR="00EA77D3" w:rsidRPr="00CC5112" w:rsidTr="00EA77D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A77D3" w:rsidRPr="00CC5112" w:rsidRDefault="00EA77D3" w:rsidP="008A0D44">
            <w:pPr>
              <w:suppressAutoHyphens w:val="0"/>
              <w:jc w:val="right"/>
              <w:rPr>
                <w:color w:val="000000"/>
                <w:lang w:eastAsia="lt-LT"/>
              </w:rPr>
            </w:pPr>
            <w:r w:rsidRPr="00CC5112">
              <w:rPr>
                <w:color w:val="000000"/>
                <w:lang w:eastAsia="lt-LT"/>
              </w:rPr>
              <w:t>10</w:t>
            </w:r>
          </w:p>
        </w:tc>
        <w:tc>
          <w:tcPr>
            <w:tcW w:w="3791" w:type="dxa"/>
            <w:tcBorders>
              <w:top w:val="nil"/>
              <w:left w:val="nil"/>
              <w:bottom w:val="single" w:sz="4" w:space="0" w:color="auto"/>
              <w:right w:val="single" w:sz="4" w:space="0" w:color="auto"/>
            </w:tcBorders>
            <w:shd w:val="clear" w:color="auto" w:fill="auto"/>
            <w:noWrap/>
            <w:vAlign w:val="bottom"/>
          </w:tcPr>
          <w:p w:rsidR="00EA77D3" w:rsidRPr="00CC5112" w:rsidRDefault="00EA77D3" w:rsidP="008A0D44">
            <w:pPr>
              <w:suppressAutoHyphens w:val="0"/>
              <w:rPr>
                <w:color w:val="000000"/>
                <w:lang w:eastAsia="lt-LT"/>
              </w:rPr>
            </w:pPr>
            <w:r w:rsidRPr="00CC5112">
              <w:rPr>
                <w:color w:val="000000"/>
                <w:lang w:eastAsia="lt-LT"/>
              </w:rPr>
              <w:t xml:space="preserve"> UAB „Busturas“</w:t>
            </w:r>
          </w:p>
        </w:tc>
        <w:tc>
          <w:tcPr>
            <w:tcW w:w="2835" w:type="dxa"/>
            <w:tcBorders>
              <w:top w:val="nil"/>
              <w:left w:val="nil"/>
              <w:bottom w:val="single" w:sz="4" w:space="0" w:color="auto"/>
              <w:right w:val="single" w:sz="4" w:space="0" w:color="auto"/>
            </w:tcBorders>
            <w:shd w:val="clear" w:color="auto" w:fill="auto"/>
            <w:noWrap/>
            <w:vAlign w:val="bottom"/>
          </w:tcPr>
          <w:p w:rsidR="00EA77D3" w:rsidRPr="00CC5112" w:rsidRDefault="00EA77D3" w:rsidP="008A0D44">
            <w:pPr>
              <w:suppressAutoHyphens w:val="0"/>
              <w:jc w:val="center"/>
              <w:rPr>
                <w:color w:val="000000"/>
                <w:lang w:eastAsia="lt-LT"/>
              </w:rPr>
            </w:pPr>
            <w:r w:rsidRPr="00CC5112">
              <w:rPr>
                <w:color w:val="000000"/>
                <w:lang w:eastAsia="lt-LT"/>
              </w:rPr>
              <w:t>100,00</w:t>
            </w:r>
          </w:p>
        </w:tc>
        <w:tc>
          <w:tcPr>
            <w:tcW w:w="2268" w:type="dxa"/>
            <w:tcBorders>
              <w:top w:val="nil"/>
              <w:left w:val="nil"/>
              <w:bottom w:val="single" w:sz="4" w:space="0" w:color="auto"/>
              <w:right w:val="single" w:sz="4" w:space="0" w:color="auto"/>
            </w:tcBorders>
            <w:vAlign w:val="bottom"/>
          </w:tcPr>
          <w:p w:rsidR="00EA77D3" w:rsidRPr="00CC5112" w:rsidRDefault="00EA77D3" w:rsidP="008A0D44">
            <w:pPr>
              <w:suppressAutoHyphens w:val="0"/>
              <w:rPr>
                <w:color w:val="000000"/>
                <w:lang w:eastAsia="lt-LT"/>
              </w:rPr>
            </w:pPr>
            <w:r w:rsidRPr="00CC5112">
              <w:rPr>
                <w:color w:val="000000"/>
                <w:lang w:eastAsia="lt-LT"/>
              </w:rPr>
              <w:t xml:space="preserve"> Šarūno g. 2</w:t>
            </w:r>
          </w:p>
        </w:tc>
      </w:tr>
      <w:tr w:rsidR="00EA77D3" w:rsidRPr="00CC5112" w:rsidTr="00ED5339">
        <w:trPr>
          <w:trHeight w:val="315"/>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EA77D3" w:rsidRPr="00CC5112" w:rsidRDefault="00EA77D3" w:rsidP="00D036A7">
            <w:pPr>
              <w:suppressAutoHyphens w:val="0"/>
              <w:rPr>
                <w:color w:val="000000"/>
                <w:lang w:eastAsia="lt-LT"/>
              </w:rPr>
            </w:pPr>
            <w:r w:rsidRPr="00CC5112">
              <w:rPr>
                <w:color w:val="000000"/>
                <w:lang w:eastAsia="lt-LT"/>
              </w:rPr>
              <w:t> </w:t>
            </w:r>
          </w:p>
        </w:tc>
        <w:tc>
          <w:tcPr>
            <w:tcW w:w="6626"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EA77D3" w:rsidRPr="00CC5112" w:rsidRDefault="00EA77D3" w:rsidP="00D036A7">
            <w:pPr>
              <w:suppressAutoHyphens w:val="0"/>
              <w:rPr>
                <w:color w:val="000000"/>
                <w:lang w:eastAsia="lt-LT"/>
              </w:rPr>
            </w:pPr>
            <w:r w:rsidRPr="00CC5112">
              <w:rPr>
                <w:color w:val="000000"/>
                <w:lang w:eastAsia="lt-LT"/>
              </w:rPr>
              <w:t xml:space="preserve"> Asocijuotieji subjektai</w:t>
            </w:r>
          </w:p>
        </w:tc>
        <w:tc>
          <w:tcPr>
            <w:tcW w:w="2268" w:type="dxa"/>
            <w:tcBorders>
              <w:top w:val="single" w:sz="4" w:space="0" w:color="auto"/>
              <w:left w:val="nil"/>
              <w:bottom w:val="single" w:sz="4" w:space="0" w:color="auto"/>
              <w:right w:val="single" w:sz="4" w:space="0" w:color="000000"/>
            </w:tcBorders>
            <w:shd w:val="clear" w:color="000000" w:fill="D9D9D9"/>
          </w:tcPr>
          <w:p w:rsidR="00EA77D3" w:rsidRPr="00CC5112" w:rsidRDefault="00EA77D3" w:rsidP="00D036A7">
            <w:pPr>
              <w:suppressAutoHyphens w:val="0"/>
              <w:rPr>
                <w:color w:val="000000"/>
                <w:lang w:eastAsia="lt-LT"/>
              </w:rPr>
            </w:pPr>
          </w:p>
        </w:tc>
      </w:tr>
      <w:tr w:rsidR="00EA77D3" w:rsidRPr="00CC5112" w:rsidTr="00ED5339">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jc w:val="right"/>
              <w:rPr>
                <w:color w:val="000000"/>
                <w:lang w:eastAsia="lt-LT"/>
              </w:rPr>
            </w:pPr>
            <w:r w:rsidRPr="00CC5112">
              <w:rPr>
                <w:color w:val="000000"/>
                <w:lang w:eastAsia="lt-LT"/>
              </w:rPr>
              <w:t>11</w:t>
            </w:r>
          </w:p>
        </w:tc>
        <w:tc>
          <w:tcPr>
            <w:tcW w:w="3791" w:type="dxa"/>
            <w:tcBorders>
              <w:top w:val="nil"/>
              <w:left w:val="nil"/>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rPr>
                <w:color w:val="000000"/>
                <w:lang w:eastAsia="lt-LT"/>
              </w:rPr>
            </w:pPr>
            <w:r w:rsidRPr="00CC5112">
              <w:rPr>
                <w:color w:val="000000"/>
                <w:lang w:eastAsia="lt-LT"/>
              </w:rPr>
              <w:t xml:space="preserve"> VšĮ Šiaulių regiono atliekų tvarkymo centras</w:t>
            </w:r>
          </w:p>
        </w:tc>
        <w:tc>
          <w:tcPr>
            <w:tcW w:w="2835" w:type="dxa"/>
            <w:tcBorders>
              <w:top w:val="nil"/>
              <w:left w:val="nil"/>
              <w:bottom w:val="single" w:sz="4" w:space="0" w:color="auto"/>
              <w:right w:val="single" w:sz="4" w:space="0" w:color="auto"/>
            </w:tcBorders>
            <w:shd w:val="clear" w:color="auto" w:fill="auto"/>
            <w:noWrap/>
            <w:vAlign w:val="bottom"/>
          </w:tcPr>
          <w:p w:rsidR="00EA77D3" w:rsidRPr="00CC5112" w:rsidRDefault="00EA77D3" w:rsidP="00771246">
            <w:pPr>
              <w:suppressAutoHyphens w:val="0"/>
              <w:jc w:val="center"/>
              <w:rPr>
                <w:color w:val="000000"/>
                <w:lang w:eastAsia="lt-LT"/>
              </w:rPr>
            </w:pPr>
            <w:r w:rsidRPr="00CC5112">
              <w:rPr>
                <w:color w:val="000000"/>
                <w:lang w:eastAsia="lt-LT"/>
              </w:rPr>
              <w:t>37,00</w:t>
            </w:r>
          </w:p>
        </w:tc>
        <w:tc>
          <w:tcPr>
            <w:tcW w:w="2268" w:type="dxa"/>
            <w:tcBorders>
              <w:top w:val="nil"/>
              <w:left w:val="nil"/>
              <w:bottom w:val="single" w:sz="4" w:space="0" w:color="auto"/>
              <w:right w:val="single" w:sz="4" w:space="0" w:color="auto"/>
            </w:tcBorders>
            <w:vAlign w:val="bottom"/>
          </w:tcPr>
          <w:p w:rsidR="00EA77D3" w:rsidRPr="00CC5112" w:rsidRDefault="00EA77D3" w:rsidP="00771246">
            <w:pPr>
              <w:suppressAutoHyphens w:val="0"/>
              <w:rPr>
                <w:color w:val="000000"/>
                <w:lang w:eastAsia="lt-LT"/>
              </w:rPr>
            </w:pPr>
            <w:r w:rsidRPr="00CC5112">
              <w:rPr>
                <w:color w:val="000000"/>
                <w:lang w:eastAsia="lt-LT"/>
              </w:rPr>
              <w:t xml:space="preserve"> Lukšio g. 8</w:t>
            </w:r>
          </w:p>
        </w:tc>
      </w:tr>
      <w:tr w:rsidR="00EA77D3" w:rsidRPr="00CC5112" w:rsidTr="00ED5339">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jc w:val="right"/>
              <w:rPr>
                <w:color w:val="000000"/>
                <w:lang w:eastAsia="lt-LT"/>
              </w:rPr>
            </w:pPr>
            <w:r w:rsidRPr="00CC5112">
              <w:rPr>
                <w:color w:val="000000"/>
                <w:lang w:eastAsia="lt-LT"/>
              </w:rPr>
              <w:t>12</w:t>
            </w:r>
          </w:p>
        </w:tc>
        <w:tc>
          <w:tcPr>
            <w:tcW w:w="3791" w:type="dxa"/>
            <w:tcBorders>
              <w:top w:val="nil"/>
              <w:left w:val="nil"/>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rPr>
                <w:color w:val="000000"/>
                <w:lang w:eastAsia="lt-LT"/>
              </w:rPr>
            </w:pPr>
            <w:r w:rsidRPr="00CC5112">
              <w:rPr>
                <w:color w:val="000000"/>
                <w:lang w:eastAsia="lt-LT"/>
              </w:rPr>
              <w:t xml:space="preserve"> UAB Toksika</w:t>
            </w:r>
          </w:p>
        </w:tc>
        <w:tc>
          <w:tcPr>
            <w:tcW w:w="2835" w:type="dxa"/>
            <w:tcBorders>
              <w:top w:val="nil"/>
              <w:left w:val="nil"/>
              <w:bottom w:val="single" w:sz="4" w:space="0" w:color="auto"/>
              <w:right w:val="single" w:sz="4" w:space="0" w:color="auto"/>
            </w:tcBorders>
            <w:shd w:val="clear" w:color="auto" w:fill="auto"/>
            <w:noWrap/>
            <w:vAlign w:val="bottom"/>
          </w:tcPr>
          <w:p w:rsidR="00EA77D3" w:rsidRPr="00CC5112" w:rsidRDefault="00EA77D3" w:rsidP="00771246">
            <w:pPr>
              <w:suppressAutoHyphens w:val="0"/>
              <w:jc w:val="center"/>
              <w:rPr>
                <w:color w:val="000000"/>
                <w:lang w:eastAsia="lt-LT"/>
              </w:rPr>
            </w:pPr>
            <w:r w:rsidRPr="00CC5112">
              <w:rPr>
                <w:color w:val="000000"/>
                <w:lang w:eastAsia="lt-LT"/>
              </w:rPr>
              <w:t>0,31</w:t>
            </w:r>
          </w:p>
        </w:tc>
        <w:tc>
          <w:tcPr>
            <w:tcW w:w="2268" w:type="dxa"/>
            <w:tcBorders>
              <w:top w:val="nil"/>
              <w:left w:val="nil"/>
              <w:bottom w:val="single" w:sz="4" w:space="0" w:color="auto"/>
              <w:right w:val="single" w:sz="4" w:space="0" w:color="auto"/>
            </w:tcBorders>
            <w:vAlign w:val="bottom"/>
          </w:tcPr>
          <w:p w:rsidR="00EA77D3" w:rsidRPr="00CC5112" w:rsidRDefault="00EA77D3" w:rsidP="00771246">
            <w:pPr>
              <w:suppressAutoHyphens w:val="0"/>
              <w:rPr>
                <w:color w:val="000000"/>
                <w:lang w:eastAsia="lt-LT"/>
              </w:rPr>
            </w:pPr>
            <w:r w:rsidRPr="00CC5112">
              <w:rPr>
                <w:color w:val="000000"/>
                <w:lang w:eastAsia="lt-LT"/>
              </w:rPr>
              <w:t xml:space="preserve"> Aukštrakių km. Šiaulių raj.</w:t>
            </w:r>
          </w:p>
        </w:tc>
      </w:tr>
      <w:tr w:rsidR="00EA77D3" w:rsidRPr="00CC5112" w:rsidTr="00ED5339">
        <w:trPr>
          <w:trHeight w:val="315"/>
        </w:trPr>
        <w:tc>
          <w:tcPr>
            <w:tcW w:w="760" w:type="dxa"/>
            <w:tcBorders>
              <w:top w:val="nil"/>
              <w:left w:val="single" w:sz="4" w:space="0" w:color="auto"/>
              <w:bottom w:val="single" w:sz="4" w:space="0" w:color="auto"/>
              <w:right w:val="single" w:sz="4" w:space="0" w:color="auto"/>
            </w:tcBorders>
            <w:shd w:val="clear" w:color="000000" w:fill="D9D9D9"/>
            <w:noWrap/>
            <w:vAlign w:val="bottom"/>
            <w:hideMark/>
          </w:tcPr>
          <w:p w:rsidR="00EA77D3" w:rsidRPr="00CC5112" w:rsidRDefault="00EA77D3" w:rsidP="00D036A7">
            <w:pPr>
              <w:suppressAutoHyphens w:val="0"/>
              <w:rPr>
                <w:color w:val="000000"/>
                <w:lang w:eastAsia="lt-LT"/>
              </w:rPr>
            </w:pPr>
            <w:r w:rsidRPr="00CC5112">
              <w:rPr>
                <w:color w:val="000000"/>
                <w:lang w:eastAsia="lt-LT"/>
              </w:rPr>
              <w:t> </w:t>
            </w:r>
          </w:p>
        </w:tc>
        <w:tc>
          <w:tcPr>
            <w:tcW w:w="6626"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EA77D3" w:rsidRPr="00CC5112" w:rsidRDefault="00EA77D3" w:rsidP="00D036A7">
            <w:pPr>
              <w:suppressAutoHyphens w:val="0"/>
              <w:rPr>
                <w:color w:val="000000"/>
                <w:lang w:eastAsia="lt-LT"/>
              </w:rPr>
            </w:pPr>
            <w:r w:rsidRPr="00CC5112">
              <w:rPr>
                <w:color w:val="000000"/>
                <w:lang w:eastAsia="lt-LT"/>
              </w:rPr>
              <w:t xml:space="preserve"> Kiti subjektai</w:t>
            </w:r>
          </w:p>
        </w:tc>
        <w:tc>
          <w:tcPr>
            <w:tcW w:w="2268" w:type="dxa"/>
            <w:tcBorders>
              <w:top w:val="single" w:sz="4" w:space="0" w:color="auto"/>
              <w:left w:val="nil"/>
              <w:bottom w:val="single" w:sz="4" w:space="0" w:color="auto"/>
              <w:right w:val="single" w:sz="4" w:space="0" w:color="000000"/>
            </w:tcBorders>
            <w:shd w:val="clear" w:color="000000" w:fill="D9D9D9"/>
          </w:tcPr>
          <w:p w:rsidR="00EA77D3" w:rsidRPr="00CC5112" w:rsidRDefault="00EA77D3" w:rsidP="00D036A7">
            <w:pPr>
              <w:suppressAutoHyphens w:val="0"/>
              <w:rPr>
                <w:color w:val="000000"/>
                <w:lang w:eastAsia="lt-LT"/>
              </w:rPr>
            </w:pPr>
          </w:p>
        </w:tc>
      </w:tr>
      <w:tr w:rsidR="00EA77D3" w:rsidRPr="00CC5112" w:rsidTr="00EA77D3">
        <w:trPr>
          <w:trHeight w:val="315"/>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jc w:val="right"/>
              <w:rPr>
                <w:color w:val="000000"/>
                <w:lang w:eastAsia="lt-LT"/>
              </w:rPr>
            </w:pPr>
            <w:r w:rsidRPr="00CC5112">
              <w:rPr>
                <w:color w:val="000000"/>
                <w:lang w:eastAsia="lt-LT"/>
              </w:rPr>
              <w:t>13</w:t>
            </w:r>
          </w:p>
        </w:tc>
        <w:tc>
          <w:tcPr>
            <w:tcW w:w="3791" w:type="dxa"/>
            <w:tcBorders>
              <w:top w:val="nil"/>
              <w:left w:val="nil"/>
              <w:bottom w:val="single" w:sz="4" w:space="0" w:color="auto"/>
              <w:right w:val="single" w:sz="4" w:space="0" w:color="auto"/>
            </w:tcBorders>
            <w:shd w:val="clear" w:color="auto" w:fill="auto"/>
            <w:noWrap/>
            <w:vAlign w:val="bottom"/>
            <w:hideMark/>
          </w:tcPr>
          <w:p w:rsidR="00EA77D3" w:rsidRPr="00CC5112" w:rsidRDefault="00EA77D3" w:rsidP="00D036A7">
            <w:pPr>
              <w:suppressAutoHyphens w:val="0"/>
              <w:rPr>
                <w:color w:val="000000"/>
                <w:lang w:eastAsia="lt-LT"/>
              </w:rPr>
            </w:pPr>
            <w:r w:rsidRPr="00CC5112">
              <w:rPr>
                <w:color w:val="000000"/>
                <w:lang w:eastAsia="lt-LT"/>
              </w:rPr>
              <w:t xml:space="preserve"> Šiaulių krepšinio akademija Saulė</w:t>
            </w:r>
          </w:p>
        </w:tc>
        <w:tc>
          <w:tcPr>
            <w:tcW w:w="2835" w:type="dxa"/>
            <w:tcBorders>
              <w:top w:val="nil"/>
              <w:left w:val="nil"/>
              <w:bottom w:val="single" w:sz="4" w:space="0" w:color="auto"/>
              <w:right w:val="single" w:sz="4" w:space="0" w:color="auto"/>
            </w:tcBorders>
            <w:shd w:val="clear" w:color="auto" w:fill="auto"/>
            <w:noWrap/>
            <w:vAlign w:val="bottom"/>
            <w:hideMark/>
          </w:tcPr>
          <w:p w:rsidR="00EA77D3" w:rsidRPr="00CC5112" w:rsidRDefault="00EA77D3" w:rsidP="00771246">
            <w:pPr>
              <w:suppressAutoHyphens w:val="0"/>
              <w:rPr>
                <w:color w:val="000000"/>
                <w:lang w:eastAsia="lt-LT"/>
              </w:rPr>
            </w:pPr>
            <w:r w:rsidRPr="00CC5112">
              <w:rPr>
                <w:color w:val="000000"/>
                <w:lang w:eastAsia="lt-LT"/>
              </w:rPr>
              <w:t xml:space="preserve"> </w:t>
            </w:r>
          </w:p>
        </w:tc>
        <w:tc>
          <w:tcPr>
            <w:tcW w:w="2268" w:type="dxa"/>
            <w:tcBorders>
              <w:top w:val="nil"/>
              <w:left w:val="nil"/>
              <w:bottom w:val="single" w:sz="4" w:space="0" w:color="auto"/>
              <w:right w:val="single" w:sz="4" w:space="0" w:color="auto"/>
            </w:tcBorders>
          </w:tcPr>
          <w:p w:rsidR="00EA77D3" w:rsidRPr="00CC5112" w:rsidRDefault="00EA77D3" w:rsidP="00D036A7">
            <w:pPr>
              <w:suppressAutoHyphens w:val="0"/>
              <w:rPr>
                <w:color w:val="000000"/>
                <w:lang w:eastAsia="lt-LT"/>
              </w:rPr>
            </w:pPr>
            <w:r w:rsidRPr="00CC5112">
              <w:rPr>
                <w:color w:val="000000"/>
                <w:lang w:eastAsia="lt-LT"/>
              </w:rPr>
              <w:t>Pramonės g. 13</w:t>
            </w:r>
          </w:p>
        </w:tc>
      </w:tr>
      <w:tr w:rsidR="00EA77D3" w:rsidRPr="00CC5112" w:rsidTr="00EA77D3">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A77D3" w:rsidRPr="00CC5112" w:rsidRDefault="00EA77D3" w:rsidP="00D036A7">
            <w:pPr>
              <w:suppressAutoHyphens w:val="0"/>
              <w:jc w:val="right"/>
              <w:rPr>
                <w:color w:val="000000"/>
                <w:lang w:eastAsia="lt-LT"/>
              </w:rPr>
            </w:pPr>
            <w:r w:rsidRPr="00CC5112">
              <w:rPr>
                <w:color w:val="000000"/>
                <w:lang w:eastAsia="lt-LT"/>
              </w:rPr>
              <w:t>14</w:t>
            </w:r>
          </w:p>
        </w:tc>
        <w:tc>
          <w:tcPr>
            <w:tcW w:w="3791" w:type="dxa"/>
            <w:tcBorders>
              <w:top w:val="single" w:sz="4" w:space="0" w:color="auto"/>
              <w:left w:val="nil"/>
              <w:bottom w:val="single" w:sz="4" w:space="0" w:color="auto"/>
              <w:right w:val="single" w:sz="4" w:space="0" w:color="auto"/>
            </w:tcBorders>
            <w:shd w:val="clear" w:color="auto" w:fill="auto"/>
            <w:noWrap/>
            <w:vAlign w:val="bottom"/>
          </w:tcPr>
          <w:p w:rsidR="00EA77D3" w:rsidRPr="00CC5112" w:rsidRDefault="00EA77D3" w:rsidP="00D036A7">
            <w:pPr>
              <w:suppressAutoHyphens w:val="0"/>
              <w:rPr>
                <w:color w:val="000000"/>
                <w:lang w:eastAsia="lt-LT"/>
              </w:rPr>
            </w:pPr>
            <w:r w:rsidRPr="00CC5112">
              <w:rPr>
                <w:color w:val="000000"/>
                <w:lang w:eastAsia="lt-LT"/>
              </w:rPr>
              <w:t>VšĮ futbolo akademija „Šiauliai“</w:t>
            </w:r>
          </w:p>
        </w:tc>
        <w:tc>
          <w:tcPr>
            <w:tcW w:w="2835" w:type="dxa"/>
            <w:tcBorders>
              <w:top w:val="single" w:sz="4" w:space="0" w:color="auto"/>
              <w:left w:val="nil"/>
              <w:bottom w:val="single" w:sz="4" w:space="0" w:color="auto"/>
              <w:right w:val="single" w:sz="4" w:space="0" w:color="auto"/>
            </w:tcBorders>
            <w:shd w:val="clear" w:color="auto" w:fill="auto"/>
            <w:noWrap/>
            <w:vAlign w:val="bottom"/>
          </w:tcPr>
          <w:p w:rsidR="00EA77D3" w:rsidRPr="00CC5112" w:rsidRDefault="00EA77D3" w:rsidP="00771246">
            <w:pPr>
              <w:suppressAutoHyphens w:val="0"/>
              <w:rPr>
                <w:color w:val="000000"/>
                <w:lang w:eastAsia="lt-LT"/>
              </w:rPr>
            </w:pPr>
          </w:p>
        </w:tc>
        <w:tc>
          <w:tcPr>
            <w:tcW w:w="2268" w:type="dxa"/>
            <w:tcBorders>
              <w:top w:val="single" w:sz="4" w:space="0" w:color="auto"/>
              <w:left w:val="nil"/>
              <w:bottom w:val="single" w:sz="4" w:space="0" w:color="auto"/>
              <w:right w:val="single" w:sz="4" w:space="0" w:color="auto"/>
            </w:tcBorders>
          </w:tcPr>
          <w:p w:rsidR="00EA77D3" w:rsidRPr="00CC5112" w:rsidRDefault="00EA77D3" w:rsidP="00D036A7">
            <w:pPr>
              <w:suppressAutoHyphens w:val="0"/>
              <w:rPr>
                <w:color w:val="000000"/>
                <w:lang w:eastAsia="lt-LT"/>
              </w:rPr>
            </w:pPr>
            <w:r w:rsidRPr="00CC5112">
              <w:rPr>
                <w:color w:val="000000"/>
                <w:lang w:eastAsia="lt-LT"/>
              </w:rPr>
              <w:t>S. Daukanto g. 23</w:t>
            </w:r>
          </w:p>
        </w:tc>
      </w:tr>
    </w:tbl>
    <w:p w:rsidR="008E00AD" w:rsidRPr="00CC5112" w:rsidRDefault="008E00AD" w:rsidP="00722E97">
      <w:pPr>
        <w:pStyle w:val="Pagrindinistekstas"/>
        <w:spacing w:after="0"/>
        <w:jc w:val="both"/>
      </w:pPr>
    </w:p>
    <w:p w:rsidR="00771246" w:rsidRPr="00CC5112" w:rsidRDefault="00771246" w:rsidP="00ED3C52">
      <w:pPr>
        <w:pStyle w:val="Pagrindinistekstas"/>
        <w:spacing w:after="0"/>
        <w:ind w:firstLine="1134"/>
        <w:jc w:val="both"/>
      </w:pPr>
      <w:r w:rsidRPr="00CC5112">
        <w:t>Savivaldybės konsoliduotųjų finansinių ataskaitų rinkinyje (toliau - KFAR) įtrauktas finansinis turtas, kurį sudaro Savivaldybei priklausantis bendrovių ir įstaigų nuosavas kapitalas.</w:t>
      </w:r>
    </w:p>
    <w:p w:rsidR="008811CD" w:rsidRPr="00CC5112" w:rsidRDefault="00E5791B" w:rsidP="00ED3C52">
      <w:pPr>
        <w:pStyle w:val="Pagrindinistekstas"/>
        <w:spacing w:after="0"/>
        <w:ind w:firstLine="1134"/>
        <w:jc w:val="both"/>
      </w:pPr>
      <w:r w:rsidRPr="00CC5112">
        <w:t>Savivaldybės 2017 metų KFAR aiškinamojo rašto pastabose pateikta informacija parengta remiantis pavaldžių VSS 2017 metų finansinių ataskaitų rinkinio aiškinamojo rašto pastabose pateikta informacija bei papildomai elektroniniu paštu pateiktais paaiškinimais.</w:t>
      </w:r>
    </w:p>
    <w:p w:rsidR="00962851" w:rsidRPr="00CC5112" w:rsidRDefault="00962851" w:rsidP="00722E97">
      <w:pPr>
        <w:jc w:val="both"/>
        <w:rPr>
          <w:b/>
        </w:rPr>
      </w:pPr>
    </w:p>
    <w:p w:rsidR="00962851" w:rsidRPr="00CC5112" w:rsidRDefault="004F6750" w:rsidP="00471479">
      <w:pPr>
        <w:jc w:val="center"/>
        <w:rPr>
          <w:b/>
        </w:rPr>
      </w:pPr>
      <w:r w:rsidRPr="00CC5112">
        <w:rPr>
          <w:b/>
        </w:rPr>
        <w:t xml:space="preserve">II. </w:t>
      </w:r>
      <w:r w:rsidR="00962851" w:rsidRPr="00CC5112">
        <w:rPr>
          <w:b/>
        </w:rPr>
        <w:t>APSKAITOS POLITIKA</w:t>
      </w:r>
    </w:p>
    <w:p w:rsidR="004F6750" w:rsidRPr="00CC5112" w:rsidRDefault="004F6750" w:rsidP="00722E97">
      <w:pPr>
        <w:ind w:firstLine="1134"/>
        <w:jc w:val="both"/>
        <w:rPr>
          <w:b/>
        </w:rPr>
      </w:pPr>
    </w:p>
    <w:p w:rsidR="004F6750" w:rsidRPr="00CC5112" w:rsidRDefault="004F6750" w:rsidP="00ED3C52">
      <w:pPr>
        <w:ind w:firstLine="1134"/>
        <w:jc w:val="both"/>
        <w:rPr>
          <w:b/>
        </w:rPr>
      </w:pPr>
      <w:r w:rsidRPr="00CC5112">
        <w:rPr>
          <w:b/>
        </w:rPr>
        <w:t>Finansinių ataskaitų parengimo pagrindas</w:t>
      </w:r>
    </w:p>
    <w:p w:rsidR="004F6750" w:rsidRPr="00CC5112" w:rsidRDefault="004F6750" w:rsidP="00722E97">
      <w:pPr>
        <w:jc w:val="both"/>
        <w:rPr>
          <w:b/>
        </w:rPr>
      </w:pPr>
    </w:p>
    <w:p w:rsidR="00E44EE2" w:rsidRPr="00CC5112" w:rsidRDefault="00E44EE2" w:rsidP="00ED3C52">
      <w:pPr>
        <w:pStyle w:val="Default"/>
        <w:tabs>
          <w:tab w:val="left" w:pos="1170"/>
        </w:tabs>
        <w:ind w:firstLine="1134"/>
        <w:jc w:val="both"/>
        <w:rPr>
          <w:color w:val="auto"/>
        </w:rPr>
      </w:pPr>
      <w:r w:rsidRPr="00CC5112">
        <w:rPr>
          <w:color w:val="auto"/>
        </w:rPr>
        <w:t>Saviva</w:t>
      </w:r>
      <w:r w:rsidR="0090721B" w:rsidRPr="00CC5112">
        <w:rPr>
          <w:color w:val="auto"/>
        </w:rPr>
        <w:t>ldybės KFAR</w:t>
      </w:r>
      <w:r w:rsidRPr="00CC5112">
        <w:rPr>
          <w:color w:val="auto"/>
        </w:rPr>
        <w:t xml:space="preserve"> už metus, pasibaigusius 201</w:t>
      </w:r>
      <w:r w:rsidR="00BA4D12" w:rsidRPr="00CC5112">
        <w:rPr>
          <w:color w:val="auto"/>
        </w:rPr>
        <w:t>7</w:t>
      </w:r>
      <w:r w:rsidRPr="00CC5112">
        <w:rPr>
          <w:color w:val="auto"/>
        </w:rPr>
        <w:t xml:space="preserve"> m. gruodžio 31 d. parengtas vadovaujantis </w:t>
      </w:r>
      <w:r w:rsidRPr="00CC5112">
        <w:rPr>
          <w:rFonts w:cs="Courier"/>
          <w:color w:val="auto"/>
          <w:szCs w:val="20"/>
        </w:rPr>
        <w:t>Lietuvos Respublikos viešojo sektoriaus atskaitomybės įstatymo ir Viešojo sektoriaus apskaitos ir finansinės atskaitomybės standartais</w:t>
      </w:r>
      <w:r w:rsidRPr="00CC5112">
        <w:rPr>
          <w:color w:val="auto"/>
        </w:rPr>
        <w:t xml:space="preserve"> (toliau – VSAFAS) ir kitais Lietuvos Respublikos teisė</w:t>
      </w:r>
      <w:r w:rsidR="0090721B" w:rsidRPr="00CC5112">
        <w:rPr>
          <w:color w:val="auto"/>
        </w:rPr>
        <w:t>s aktų, reglamentuojančių VSS</w:t>
      </w:r>
      <w:r w:rsidRPr="00CC5112">
        <w:rPr>
          <w:color w:val="auto"/>
        </w:rPr>
        <w:t xml:space="preserve"> konsoliduotųjų finansinių ataskaitų rengimą, nuostatomis. </w:t>
      </w:r>
    </w:p>
    <w:p w:rsidR="004F6750" w:rsidRPr="00CC5112" w:rsidRDefault="004F6750" w:rsidP="00ED3C52">
      <w:pPr>
        <w:tabs>
          <w:tab w:val="left" w:pos="1185"/>
        </w:tabs>
        <w:ind w:firstLine="1134"/>
        <w:jc w:val="both"/>
        <w:rPr>
          <w:rFonts w:cs="Courier"/>
        </w:rPr>
      </w:pPr>
      <w:r w:rsidRPr="00CC5112">
        <w:rPr>
          <w:rFonts w:cs="Courier"/>
        </w:rPr>
        <w:t>Šis ataskaitų rinkinys parengtas ūkinių operacijų ir įvykių apskaitai taikant kaupimo principą bei taikant vienodus apskaitos metodus panašiems sandoriams ir kitiems įvykiams panašiomis aplinkybėmis.</w:t>
      </w:r>
      <w:r w:rsidR="00771246" w:rsidRPr="00CC5112">
        <w:rPr>
          <w:rFonts w:cs="Courier"/>
        </w:rPr>
        <w:t xml:space="preserve"> </w:t>
      </w:r>
    </w:p>
    <w:p w:rsidR="00D1139B" w:rsidRPr="00CC5112" w:rsidRDefault="004F6750" w:rsidP="00ED3C52">
      <w:pPr>
        <w:tabs>
          <w:tab w:val="left" w:pos="1185"/>
        </w:tabs>
        <w:ind w:firstLine="1134"/>
        <w:jc w:val="both"/>
        <w:rPr>
          <w:rFonts w:cs="Courier"/>
        </w:rPr>
      </w:pPr>
      <w:r w:rsidRPr="00CC5112">
        <w:rPr>
          <w:rFonts w:cs="Courier"/>
        </w:rPr>
        <w:t>Ren</w:t>
      </w:r>
      <w:r w:rsidR="00CE2D81" w:rsidRPr="00CC5112">
        <w:rPr>
          <w:rFonts w:cs="Courier"/>
        </w:rPr>
        <w:t>giant šį ataskaitų rinkinį reikš</w:t>
      </w:r>
      <w:r w:rsidRPr="00CC5112">
        <w:rPr>
          <w:rFonts w:cs="Courier"/>
        </w:rPr>
        <w:t xml:space="preserve">minga suma buvo laikoma tokia suma, kuri </w:t>
      </w:r>
      <w:r w:rsidR="00337A98" w:rsidRPr="00CC5112">
        <w:rPr>
          <w:rFonts w:cs="Courier"/>
        </w:rPr>
        <w:t>ne</w:t>
      </w:r>
      <w:r w:rsidRPr="00CC5112">
        <w:rPr>
          <w:rFonts w:cs="Courier"/>
        </w:rPr>
        <w:t>viršija 0,1 proc. savivaldybės konsoliduotojo turto</w:t>
      </w:r>
      <w:r w:rsidR="00962851" w:rsidRPr="00CC5112">
        <w:rPr>
          <w:rFonts w:cs="Courier"/>
        </w:rPr>
        <w:t xml:space="preserve"> –</w:t>
      </w:r>
      <w:r w:rsidRPr="00CC5112">
        <w:rPr>
          <w:rFonts w:cs="Courier"/>
        </w:rPr>
        <w:t xml:space="preserve"> </w:t>
      </w:r>
      <w:r w:rsidR="00BA4D12" w:rsidRPr="00CC5112">
        <w:rPr>
          <w:rFonts w:cs="Courier"/>
        </w:rPr>
        <w:t>283,84</w:t>
      </w:r>
      <w:r w:rsidR="00B90AC8" w:rsidRPr="00CC5112">
        <w:rPr>
          <w:rFonts w:cs="Courier"/>
        </w:rPr>
        <w:t xml:space="preserve"> tūkst. </w:t>
      </w:r>
      <w:r w:rsidR="003B3E8F" w:rsidRPr="00CC5112">
        <w:rPr>
          <w:rFonts w:cs="Courier"/>
        </w:rPr>
        <w:t>Eur</w:t>
      </w:r>
      <w:r w:rsidR="00B90AC8" w:rsidRPr="00CC5112">
        <w:rPr>
          <w:rFonts w:cs="Courier"/>
        </w:rPr>
        <w:t>.</w:t>
      </w:r>
    </w:p>
    <w:p w:rsidR="002B6C71" w:rsidRPr="00CC5112" w:rsidRDefault="002B6C71" w:rsidP="00722E97">
      <w:pPr>
        <w:tabs>
          <w:tab w:val="left" w:pos="1185"/>
        </w:tabs>
        <w:jc w:val="both"/>
        <w:rPr>
          <w:rFonts w:cs="Courier"/>
          <w:b/>
        </w:rPr>
      </w:pPr>
    </w:p>
    <w:p w:rsidR="00E5791B" w:rsidRPr="00CC5112" w:rsidRDefault="002B6C71" w:rsidP="00E5791B">
      <w:pPr>
        <w:tabs>
          <w:tab w:val="left" w:pos="1185"/>
        </w:tabs>
        <w:jc w:val="both"/>
        <w:rPr>
          <w:rFonts w:cs="Courier"/>
          <w:b/>
        </w:rPr>
      </w:pPr>
      <w:r w:rsidRPr="00CC5112">
        <w:rPr>
          <w:rFonts w:cs="Courier"/>
          <w:b/>
        </w:rPr>
        <w:tab/>
      </w:r>
      <w:r w:rsidR="00E5791B" w:rsidRPr="00CC5112">
        <w:rPr>
          <w:rFonts w:cs="Courier"/>
          <w:b/>
        </w:rPr>
        <w:t>Finansinių ataskaitų konsolidavimo principai</w:t>
      </w:r>
    </w:p>
    <w:p w:rsidR="00E5791B" w:rsidRPr="00CC5112" w:rsidRDefault="00E5791B" w:rsidP="00E5791B">
      <w:pPr>
        <w:tabs>
          <w:tab w:val="left" w:pos="1185"/>
        </w:tabs>
        <w:jc w:val="both"/>
        <w:rPr>
          <w:rFonts w:cs="Courier"/>
        </w:rPr>
      </w:pPr>
    </w:p>
    <w:p w:rsidR="00E5791B" w:rsidRPr="00CC5112" w:rsidRDefault="00E5791B" w:rsidP="00E5791B">
      <w:pPr>
        <w:tabs>
          <w:tab w:val="left" w:pos="1185"/>
        </w:tabs>
        <w:ind w:firstLine="1134"/>
        <w:jc w:val="both"/>
        <w:rPr>
          <w:rFonts w:cs="Courier"/>
        </w:rPr>
      </w:pPr>
      <w:r w:rsidRPr="00CC5112">
        <w:rPr>
          <w:rFonts w:cs="Courier"/>
        </w:rPr>
        <w:t>Rengiant šį ataskaitų rinkinį, konsoliduotos savivaldybės kontroliuojamų VSS finansinės ataskaitos. Konsolidavimas vykdomas sudedant finansinių ataskaitų atitinkamus straipsnius ir eliminuojant konsoliduojamų subjektų tarpusavio ūkines operacijas ir jų rezultatus. Savivaldybės konsoliduotųjų finansinių ataskaitų rinkinys parengtas Viešojo sektoriaus apskaitos ir ataskaitų konsolidavimo informacinėje sistemoje (toliau – VSAKIS) ir teikiamas Lietuvos Respublikos finansų ministerijai finansų ministro nustatytais terminais.</w:t>
      </w:r>
    </w:p>
    <w:p w:rsidR="00E5791B" w:rsidRPr="00CC5112" w:rsidRDefault="00E5791B" w:rsidP="00E5791B">
      <w:pPr>
        <w:tabs>
          <w:tab w:val="left" w:pos="1185"/>
        </w:tabs>
        <w:jc w:val="both"/>
        <w:rPr>
          <w:rFonts w:cs="Courier"/>
        </w:rPr>
      </w:pPr>
    </w:p>
    <w:p w:rsidR="00E5791B" w:rsidRPr="00CC5112" w:rsidRDefault="00E5791B" w:rsidP="00E5791B">
      <w:pPr>
        <w:tabs>
          <w:tab w:val="left" w:pos="1185"/>
        </w:tabs>
        <w:jc w:val="both"/>
        <w:rPr>
          <w:rFonts w:cs="Courier"/>
          <w:b/>
        </w:rPr>
      </w:pPr>
      <w:r w:rsidRPr="00CC5112">
        <w:rPr>
          <w:rFonts w:cs="Courier"/>
          <w:b/>
        </w:rPr>
        <w:tab/>
        <w:t>Finansinių ataskaitų valiuta</w:t>
      </w:r>
    </w:p>
    <w:p w:rsidR="00E5791B" w:rsidRPr="00CC5112" w:rsidRDefault="00E5791B" w:rsidP="00E5791B">
      <w:pPr>
        <w:tabs>
          <w:tab w:val="left" w:pos="1185"/>
        </w:tabs>
        <w:jc w:val="both"/>
        <w:rPr>
          <w:rFonts w:cs="Courier"/>
          <w:b/>
        </w:rPr>
      </w:pPr>
    </w:p>
    <w:p w:rsidR="00E5791B" w:rsidRPr="00CC5112" w:rsidRDefault="00E5791B" w:rsidP="00E5791B">
      <w:pPr>
        <w:tabs>
          <w:tab w:val="left" w:pos="1185"/>
        </w:tabs>
        <w:ind w:firstLine="1134"/>
        <w:jc w:val="both"/>
        <w:rPr>
          <w:rFonts w:cs="Courier"/>
        </w:rPr>
      </w:pPr>
      <w:r w:rsidRPr="00CC5112">
        <w:t>Nuo 2015 metų finansinėse ataskaitose pateikti duomenys buvo išreikšti eurais.</w:t>
      </w:r>
      <w:r w:rsidRPr="00CC5112">
        <w:rPr>
          <w:rFonts w:cs="Courier"/>
        </w:rPr>
        <w:t xml:space="preserve"> </w:t>
      </w:r>
      <w:r w:rsidRPr="00CC5112">
        <w:t xml:space="preserve">Šiame konsoliduotų finansinių ataskaitų rinkinyje duomenys pateikiami tūkstančiais eurų su dviem ženklais po kablelio. </w:t>
      </w:r>
      <w:r w:rsidRPr="00CC5112">
        <w:rPr>
          <w:rFonts w:cs="Courier"/>
        </w:rPr>
        <w:t xml:space="preserve">Sąskaitų likučiai perskaičiuoti vadovaujantis </w:t>
      </w:r>
      <w:r w:rsidRPr="00CC5112">
        <w:rPr>
          <w:sz w:val="23"/>
          <w:szCs w:val="23"/>
        </w:rPr>
        <w:t>28-asis VSAFAS „Euro įvedimas“ 8 punktu.</w:t>
      </w:r>
    </w:p>
    <w:p w:rsidR="00E5791B" w:rsidRPr="00CC5112" w:rsidRDefault="00E5791B" w:rsidP="00E5791B">
      <w:pPr>
        <w:jc w:val="both"/>
      </w:pPr>
    </w:p>
    <w:p w:rsidR="00E5791B" w:rsidRPr="00CC5112" w:rsidRDefault="00E5791B" w:rsidP="00ED3C52">
      <w:pPr>
        <w:ind w:firstLine="1134"/>
        <w:jc w:val="both"/>
        <w:rPr>
          <w:b/>
        </w:rPr>
      </w:pPr>
      <w:r w:rsidRPr="00CC5112">
        <w:rPr>
          <w:b/>
        </w:rPr>
        <w:t>Nematerialusis turtas</w:t>
      </w:r>
    </w:p>
    <w:p w:rsidR="00E5791B" w:rsidRPr="00CC5112" w:rsidRDefault="00E5791B" w:rsidP="00E5791B">
      <w:pPr>
        <w:ind w:firstLine="1296"/>
        <w:jc w:val="both"/>
        <w:rPr>
          <w:b/>
        </w:rPr>
      </w:pPr>
    </w:p>
    <w:p w:rsidR="00E5791B" w:rsidRPr="00CC5112" w:rsidRDefault="00E5791B" w:rsidP="00ED3C52">
      <w:pPr>
        <w:tabs>
          <w:tab w:val="left" w:pos="1134"/>
          <w:tab w:val="left" w:pos="2552"/>
        </w:tabs>
        <w:autoSpaceDE w:val="0"/>
        <w:spacing w:before="25" w:after="25"/>
        <w:ind w:firstLine="1134"/>
        <w:jc w:val="both"/>
      </w:pPr>
      <w:r w:rsidRPr="00CC5112">
        <w:t>Nematerialiojo turto apskaitos politika parengta vadovaujantis 13-ajame  apskaitos ir finansinės atskaitomybės standarte „Nematerialusis turtas“, o nematerialiojo turto nuvertėjimo apskaičiavimo ir apskaitos metodai bei taisyklės – 22-ajame viešojo sektoriaus apskaitos ir finansinės atskaitomybės standarte „Turto nuvertėjimas“, nustatyta tvarka.</w:t>
      </w:r>
    </w:p>
    <w:p w:rsidR="00E5791B" w:rsidRPr="00CC5112" w:rsidRDefault="00E5791B" w:rsidP="00ED3C52">
      <w:pPr>
        <w:tabs>
          <w:tab w:val="left" w:pos="1134"/>
          <w:tab w:val="left" w:pos="2552"/>
        </w:tabs>
        <w:autoSpaceDE w:val="0"/>
        <w:spacing w:before="25" w:after="25"/>
        <w:ind w:firstLine="1134"/>
        <w:jc w:val="both"/>
      </w:pPr>
      <w:r w:rsidRPr="00CC5112">
        <w:t>Nematerialusis turtas yra pripažįstamas, jei atitinka 13-ajame VSAFAS pateiktą sąvoką ir nematerialiajam turtui nustatytus kriterijus.</w:t>
      </w:r>
    </w:p>
    <w:p w:rsidR="00E5791B" w:rsidRPr="00CC5112" w:rsidRDefault="00E5791B" w:rsidP="00ED3C52">
      <w:pPr>
        <w:tabs>
          <w:tab w:val="left" w:pos="1134"/>
          <w:tab w:val="left" w:pos="2552"/>
        </w:tabs>
        <w:autoSpaceDE w:val="0"/>
        <w:spacing w:before="25" w:after="25"/>
        <w:ind w:firstLine="1134"/>
        <w:jc w:val="both"/>
      </w:pPr>
      <w:r w:rsidRPr="00CC5112">
        <w:t>Nematerialusis turtas pirminio pripažinimo metu apskaitoje yra registruojamas įsigijimo savikaina. Išlaidos, patirtos po pirkto ar susikurto nematerialiojo turto pirminio pripažinimo, didina nematerialiojo turto įsigijimo savikainą tik tais atvejais, kai galima patikimai nustatyti, kad patobulintas nematerialusis turtas teiks didesnę ekonominę naudą, t. y., kad atliktas esminis nematerialiojo turto pagerinimas.</w:t>
      </w:r>
    </w:p>
    <w:p w:rsidR="00E5791B" w:rsidRPr="00CC5112" w:rsidRDefault="00E5791B" w:rsidP="00ED3C52">
      <w:pPr>
        <w:tabs>
          <w:tab w:val="left" w:pos="1134"/>
          <w:tab w:val="left" w:pos="2552"/>
        </w:tabs>
        <w:autoSpaceDE w:val="0"/>
        <w:spacing w:before="25" w:after="25"/>
        <w:ind w:firstLine="1134"/>
        <w:jc w:val="both"/>
      </w:pPr>
      <w:r w:rsidRPr="00CC5112">
        <w:t>Išankstiniai apmokėjimai už nematerialųjį turtą apskaitoje registruojami nematerialiojo turto sąskaitose.</w:t>
      </w:r>
    </w:p>
    <w:p w:rsidR="00E5791B" w:rsidRPr="00CC5112" w:rsidRDefault="00E5791B" w:rsidP="00ED3C52">
      <w:pPr>
        <w:tabs>
          <w:tab w:val="left" w:pos="1134"/>
          <w:tab w:val="left" w:pos="2552"/>
        </w:tabs>
        <w:autoSpaceDE w:val="0"/>
        <w:spacing w:before="25" w:after="25"/>
        <w:ind w:firstLine="1134"/>
        <w:jc w:val="both"/>
      </w:pPr>
      <w:r w:rsidRPr="00CC5112">
        <w:t>Po pirminio pripažinimo nematerialusis turtas, kurio naudingo tarnavimo laikas ribotas, finansinėse ataskaitose yra parodomas įsigijimo savikaina, atėmus sukauptą amortizaciją ir nuvertėjimą, jei jis yra.</w:t>
      </w:r>
    </w:p>
    <w:p w:rsidR="00E5791B" w:rsidRPr="00CC5112" w:rsidRDefault="00E5791B" w:rsidP="00ED3C52">
      <w:pPr>
        <w:tabs>
          <w:tab w:val="left" w:pos="1134"/>
          <w:tab w:val="left" w:pos="2552"/>
        </w:tabs>
        <w:autoSpaceDE w:val="0"/>
        <w:spacing w:before="25" w:after="25"/>
        <w:ind w:firstLine="1134"/>
        <w:jc w:val="both"/>
      </w:pPr>
      <w:r w:rsidRPr="00CC5112">
        <w:t>Nematerialiojo turto amortizuojamoji vertė yra nuosekliai paskirstoma per visą nustatytą turto naudingo tarnavimo laiką tiesiogiai proporcingu metodu. Tam tikro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w:t>
      </w:r>
    </w:p>
    <w:p w:rsidR="00E5791B" w:rsidRPr="00CC5112" w:rsidRDefault="00E5791B" w:rsidP="00ED3C52">
      <w:pPr>
        <w:tabs>
          <w:tab w:val="left" w:pos="1134"/>
          <w:tab w:val="left" w:pos="2552"/>
        </w:tabs>
        <w:autoSpaceDE w:val="0"/>
        <w:spacing w:before="25" w:after="25"/>
        <w:ind w:firstLine="1134"/>
        <w:jc w:val="both"/>
      </w:pPr>
      <w:r w:rsidRPr="00CC5112">
        <w:t>Nematerialiojo turto naudingo tarnavimo laikas, nustatomas atsižvelgiant į sutartis ar kitus sandorius, neturi būti ilgesnis už šių sandorių galiojimo laikotarpį. Kitam nematerialiajam turtui taikomi patvirtinti nematerialiojo turto amortizacijos normatyvai.</w:t>
      </w:r>
    </w:p>
    <w:p w:rsidR="00E5791B" w:rsidRPr="00CC5112" w:rsidRDefault="00E5791B" w:rsidP="00E5791B">
      <w:pPr>
        <w:ind w:firstLine="1134"/>
        <w:jc w:val="both"/>
      </w:pPr>
    </w:p>
    <w:p w:rsidR="00E5791B" w:rsidRPr="00CC5112" w:rsidRDefault="00E5791B" w:rsidP="00E5791B">
      <w:pPr>
        <w:jc w:val="both"/>
        <w:rPr>
          <w:b/>
        </w:rPr>
      </w:pPr>
      <w:r w:rsidRPr="00CC5112">
        <w:rPr>
          <w:b/>
        </w:rPr>
        <w:tab/>
      </w:r>
    </w:p>
    <w:p w:rsidR="00E5791B" w:rsidRPr="00CC5112" w:rsidRDefault="00E5791B" w:rsidP="00E5791B">
      <w:pPr>
        <w:jc w:val="both"/>
        <w:rPr>
          <w:b/>
        </w:rPr>
      </w:pPr>
    </w:p>
    <w:p w:rsidR="00E5791B" w:rsidRPr="00CC5112" w:rsidRDefault="00E5791B" w:rsidP="00ED3C52">
      <w:pPr>
        <w:ind w:firstLine="1134"/>
        <w:jc w:val="both"/>
        <w:rPr>
          <w:b/>
        </w:rPr>
      </w:pPr>
      <w:r w:rsidRPr="00CC5112">
        <w:rPr>
          <w:b/>
        </w:rPr>
        <w:t>Ilgalaikis materialusis turtas</w:t>
      </w:r>
    </w:p>
    <w:p w:rsidR="00E5791B" w:rsidRPr="00CC5112" w:rsidRDefault="00E5791B" w:rsidP="00E5791B">
      <w:pPr>
        <w:jc w:val="both"/>
        <w:rPr>
          <w:b/>
        </w:rPr>
      </w:pPr>
    </w:p>
    <w:p w:rsidR="00E5791B" w:rsidRPr="00CC5112" w:rsidRDefault="00E5791B" w:rsidP="00ED3C52">
      <w:pPr>
        <w:tabs>
          <w:tab w:val="left" w:pos="1134"/>
          <w:tab w:val="left" w:pos="2552"/>
        </w:tabs>
        <w:autoSpaceDE w:val="0"/>
        <w:spacing w:before="25" w:after="25"/>
        <w:ind w:firstLine="1134"/>
        <w:jc w:val="both"/>
      </w:pPr>
      <w:r w:rsidRPr="00CC5112">
        <w:t>Ilgalaikio materialiojo turto apskaitos politika parengta vadovaujantis 12-ajame viešojo sektoriaus apskaitos ir finansinės atskaitomybės standarte „Ilgalaikis materialusis turtas“, o ilgalaikio materialiojo turto nuvertėjimo apskaičiavimo ir apskaitos metodai bei taisyklės – 22-ajame VSAFAS nustatyta tvarka.</w:t>
      </w:r>
    </w:p>
    <w:p w:rsidR="00E5791B" w:rsidRPr="00CC5112" w:rsidRDefault="00E5791B" w:rsidP="00ED3C52">
      <w:pPr>
        <w:tabs>
          <w:tab w:val="left" w:pos="1134"/>
          <w:tab w:val="left" w:pos="2552"/>
        </w:tabs>
        <w:autoSpaceDE w:val="0"/>
        <w:spacing w:before="25" w:after="25"/>
        <w:ind w:firstLine="1134"/>
        <w:jc w:val="both"/>
      </w:pPr>
      <w:r w:rsidRPr="00CC5112">
        <w:t>Ilgalaikis materialusis turtas pripažįstamas ir registruojamas apskaitoje, jei jis atitinka ilgalaikio materialiojo turto sąvoką ir VSAFAS nustatytus ilgalaikio materialiojo turto pripažinimo kriterijus.</w:t>
      </w:r>
    </w:p>
    <w:p w:rsidR="00E5791B" w:rsidRPr="00CC5112" w:rsidRDefault="00E5791B" w:rsidP="00ED3C52">
      <w:pPr>
        <w:tabs>
          <w:tab w:val="left" w:pos="1134"/>
          <w:tab w:val="left" w:pos="2552"/>
        </w:tabs>
        <w:autoSpaceDE w:val="0"/>
        <w:spacing w:before="25" w:after="25"/>
        <w:ind w:firstLine="1134"/>
        <w:jc w:val="both"/>
      </w:pPr>
      <w:r w:rsidRPr="00CC5112">
        <w:t xml:space="preserve">Ilgalaikis materialusis turtas pagal pobūdį skirstomas į pagrindines grupes, nustatytas VSAFAS. </w:t>
      </w:r>
    </w:p>
    <w:p w:rsidR="00E5791B" w:rsidRPr="00CC5112" w:rsidRDefault="00E5791B" w:rsidP="00ED3C52">
      <w:pPr>
        <w:tabs>
          <w:tab w:val="left" w:pos="1134"/>
          <w:tab w:val="left" w:pos="2552"/>
        </w:tabs>
        <w:autoSpaceDE w:val="0"/>
        <w:spacing w:before="25" w:after="25"/>
        <w:ind w:firstLine="1134"/>
        <w:jc w:val="both"/>
      </w:pPr>
      <w:r w:rsidRPr="00CC5112">
        <w:t>Įsigytas ilgalaikis materialusis turtas pirminio pripažinimo momentu apskaitoje registruojamas įsigijimo savikaina.</w:t>
      </w:r>
    </w:p>
    <w:p w:rsidR="00E5791B" w:rsidRPr="00CC5112" w:rsidRDefault="00E5791B" w:rsidP="00ED3C52">
      <w:pPr>
        <w:tabs>
          <w:tab w:val="left" w:pos="1134"/>
          <w:tab w:val="left" w:pos="2552"/>
        </w:tabs>
        <w:autoSpaceDE w:val="0"/>
        <w:spacing w:before="25" w:after="25"/>
        <w:ind w:firstLine="1134"/>
        <w:jc w:val="both"/>
      </w:pPr>
      <w:r w:rsidRPr="00CC5112">
        <w:t>Išankstiniai apmokėjimai už ilgalaikį materialųjį turtą apskaitoje registruojami tam skirtose ilgalaikio materialiojo turto sąskaitose.</w:t>
      </w:r>
    </w:p>
    <w:p w:rsidR="00E5791B" w:rsidRPr="00CC5112" w:rsidRDefault="00E5791B" w:rsidP="00ED3C52">
      <w:pPr>
        <w:tabs>
          <w:tab w:val="left" w:pos="1134"/>
          <w:tab w:val="left" w:pos="2552"/>
        </w:tabs>
        <w:autoSpaceDE w:val="0"/>
        <w:spacing w:before="25" w:after="25"/>
        <w:ind w:firstLine="1134"/>
        <w:jc w:val="both"/>
      </w:pPr>
      <w:r w:rsidRPr="00CC5112">
        <w:t xml:space="preserve">Po pirminio pripažinimo ilgalaikis materialusis turtas, išskyrus žemę ir kultūros vertybes, finansinėse ataskaitose rodomas įsigijimo savikaina, atėmus sukauptą nusidėvėjimą ir nuvertėjimą, jei jis yra. Žemė ir kultūros vertybės po pirminio pripažinimo finansinėse ataskaitose rodomos tikrąja verte. </w:t>
      </w:r>
    </w:p>
    <w:p w:rsidR="00E5791B" w:rsidRPr="00CC5112" w:rsidRDefault="00E5791B" w:rsidP="00ED3C52">
      <w:pPr>
        <w:tabs>
          <w:tab w:val="left" w:pos="1134"/>
          <w:tab w:val="left" w:pos="2552"/>
        </w:tabs>
        <w:autoSpaceDE w:val="0"/>
        <w:spacing w:before="25" w:after="25"/>
        <w:ind w:firstLine="1134"/>
        <w:jc w:val="both"/>
      </w:pPr>
      <w:r w:rsidRPr="00CC5112">
        <w:t>Ilgalaikio materialiojo turto nudėvimoji vertė yra nuosekliai paskirstoma per visą turto naudingo tarnavimo laiką. Ilgalaikio materialiojo turto vieneto nusidėvėjimas pradedamas skaičiuoti nuo kito mėnesio, kai turtas pradedamas naudoti, pirmos dienos. 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w:t>
      </w:r>
    </w:p>
    <w:p w:rsidR="00E5791B" w:rsidRPr="00CC5112" w:rsidRDefault="00E5791B" w:rsidP="00ED3C52">
      <w:pPr>
        <w:tabs>
          <w:tab w:val="left" w:pos="1134"/>
          <w:tab w:val="left" w:pos="2552"/>
        </w:tabs>
        <w:autoSpaceDE w:val="0"/>
        <w:spacing w:before="25" w:after="25"/>
        <w:ind w:firstLine="1134"/>
        <w:jc w:val="both"/>
      </w:pPr>
      <w:r w:rsidRPr="00CC5112">
        <w:t>Ilgalaikio materialiojo turto nusidėvėjimas skaičiuojamas taikant tiesiogiai proporcingą (tiesinį) metodą pagal Šiaulių miesto savivaldybės tarybos patvirtintus ilgalaikio materialiojo turto nusidėvėjimo normatyvus.</w:t>
      </w:r>
    </w:p>
    <w:p w:rsidR="00E5791B" w:rsidRPr="00CC5112" w:rsidRDefault="00E5791B" w:rsidP="00ED3C52">
      <w:pPr>
        <w:tabs>
          <w:tab w:val="left" w:pos="1134"/>
          <w:tab w:val="left" w:pos="2552"/>
        </w:tabs>
        <w:autoSpaceDE w:val="0"/>
        <w:spacing w:before="25" w:after="25"/>
        <w:ind w:firstLine="1134"/>
        <w:jc w:val="both"/>
      </w:pPr>
      <w:r w:rsidRPr="00CC5112">
        <w:t xml:space="preserve">Kai turtas parduodamas arba nurašomas, jo įsigijimo savikaina, sukauptas nusidėvėjimas ir, jei yra, nuvertėjimas nurašomi. Pardavimo pelnas ar nuostoliai priskiriami kitos veiklos rezultatams. </w:t>
      </w:r>
    </w:p>
    <w:p w:rsidR="00E5791B" w:rsidRPr="00CC5112" w:rsidRDefault="00E5791B" w:rsidP="00ED3C52">
      <w:pPr>
        <w:tabs>
          <w:tab w:val="left" w:pos="1134"/>
          <w:tab w:val="left" w:pos="2552"/>
        </w:tabs>
        <w:suppressAutoHyphens w:val="0"/>
        <w:autoSpaceDE w:val="0"/>
        <w:autoSpaceDN w:val="0"/>
        <w:adjustRightInd w:val="0"/>
        <w:spacing w:before="25" w:afterLines="25" w:after="60"/>
        <w:ind w:firstLine="1134"/>
        <w:jc w:val="both"/>
        <w:rPr>
          <w:lang w:eastAsia="en-US"/>
        </w:rPr>
      </w:pPr>
      <w:r w:rsidRPr="00CC5112">
        <w:t>Ilgalaikio materialiojo turto rekonstravimas, remontas ar kiti darbai pripažįstami esminiu turto pagerinimu, jei padidina turto funkcijų apimtį arba pailgina turto naudingo tarnavimo laiką, arba iš esmės pagerina jo naudingąsias savybes. Šių darbų verte didinama 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w:t>
      </w:r>
    </w:p>
    <w:p w:rsidR="00E5791B" w:rsidRPr="00CC5112" w:rsidRDefault="00E5791B" w:rsidP="00ED3C52">
      <w:pPr>
        <w:tabs>
          <w:tab w:val="left" w:pos="1134"/>
          <w:tab w:val="left" w:pos="2552"/>
        </w:tabs>
        <w:suppressAutoHyphens w:val="0"/>
        <w:autoSpaceDE w:val="0"/>
        <w:autoSpaceDN w:val="0"/>
        <w:adjustRightInd w:val="0"/>
        <w:spacing w:before="25" w:afterLines="25" w:after="60"/>
        <w:ind w:firstLine="1134"/>
        <w:jc w:val="both"/>
      </w:pPr>
      <w:r w:rsidRPr="00CC5112">
        <w:t xml:space="preserve">Kultūros vertybių </w:t>
      </w:r>
      <w:r w:rsidRPr="00CC5112">
        <w:rPr>
          <w:lang w:eastAsia="en-US"/>
        </w:rPr>
        <w:t>konservavimo ir restauravimo bei nekilnojam</w:t>
      </w:r>
      <w:r w:rsidRPr="00CC5112">
        <w:rPr>
          <w:rFonts w:ascii="TimesNewRoman" w:hAnsi="TimesNewRoman" w:cs="TimesNewRoman"/>
          <w:lang w:eastAsia="en-US"/>
        </w:rPr>
        <w:t>ų</w:t>
      </w:r>
      <w:r w:rsidRPr="00CC5112">
        <w:rPr>
          <w:lang w:eastAsia="en-US"/>
        </w:rPr>
        <w:t>j</w:t>
      </w:r>
      <w:r w:rsidRPr="00CC5112">
        <w:rPr>
          <w:rFonts w:ascii="TimesNewRoman" w:hAnsi="TimesNewRoman" w:cs="TimesNewRoman"/>
          <w:lang w:eastAsia="en-US"/>
        </w:rPr>
        <w:t xml:space="preserve">ų </w:t>
      </w:r>
      <w:r w:rsidRPr="00CC5112">
        <w:rPr>
          <w:lang w:eastAsia="en-US"/>
        </w:rPr>
        <w:t>Kultūros vertybi</w:t>
      </w:r>
      <w:r w:rsidRPr="00CC5112">
        <w:rPr>
          <w:rFonts w:ascii="TimesNewRoman" w:hAnsi="TimesNewRoman" w:cs="TimesNewRoman"/>
          <w:lang w:eastAsia="en-US"/>
        </w:rPr>
        <w:t xml:space="preserve">ų </w:t>
      </w:r>
      <w:r w:rsidRPr="00CC5112">
        <w:rPr>
          <w:bCs/>
          <w:lang w:eastAsia="en-US"/>
        </w:rPr>
        <w:t>tvarkom</w:t>
      </w:r>
      <w:r w:rsidRPr="00CC5112">
        <w:rPr>
          <w:rFonts w:ascii="TimesNewRoman,Bold" w:hAnsi="TimesNewRoman,Bold" w:cs="TimesNewRoman,Bold"/>
          <w:bCs/>
          <w:lang w:eastAsia="en-US"/>
        </w:rPr>
        <w:t>ų</w:t>
      </w:r>
      <w:r w:rsidRPr="00CC5112">
        <w:rPr>
          <w:bCs/>
          <w:lang w:eastAsia="en-US"/>
        </w:rPr>
        <w:t>j</w:t>
      </w:r>
      <w:r w:rsidRPr="00CC5112">
        <w:rPr>
          <w:rFonts w:ascii="TimesNewRoman,Bold" w:hAnsi="TimesNewRoman,Bold" w:cs="TimesNewRoman,Bold"/>
          <w:bCs/>
          <w:lang w:eastAsia="en-US"/>
        </w:rPr>
        <w:t xml:space="preserve">ų </w:t>
      </w:r>
      <w:r w:rsidRPr="00CC5112">
        <w:rPr>
          <w:bCs/>
          <w:lang w:eastAsia="en-US"/>
        </w:rPr>
        <w:t xml:space="preserve">paveldosaugos </w:t>
      </w:r>
      <w:r w:rsidRPr="00CC5112">
        <w:rPr>
          <w:lang w:eastAsia="en-US"/>
        </w:rPr>
        <w:t>darb</w:t>
      </w:r>
      <w:r w:rsidRPr="00CC5112">
        <w:rPr>
          <w:rFonts w:ascii="TimesNewRoman" w:hAnsi="TimesNewRoman" w:cs="TimesNewRoman"/>
          <w:lang w:eastAsia="en-US"/>
        </w:rPr>
        <w:t xml:space="preserve">ų </w:t>
      </w:r>
      <w:r w:rsidRPr="00CC5112">
        <w:rPr>
          <w:bCs/>
          <w:lang w:eastAsia="en-US"/>
        </w:rPr>
        <w:t>ir tvarkom</w:t>
      </w:r>
      <w:r w:rsidRPr="00CC5112">
        <w:rPr>
          <w:rFonts w:ascii="TimesNewRoman,Bold" w:hAnsi="TimesNewRoman,Bold" w:cs="TimesNewRoman,Bold"/>
          <w:bCs/>
          <w:lang w:eastAsia="en-US"/>
        </w:rPr>
        <w:t>ų</w:t>
      </w:r>
      <w:r w:rsidRPr="00CC5112">
        <w:rPr>
          <w:bCs/>
          <w:lang w:eastAsia="en-US"/>
        </w:rPr>
        <w:t>j</w:t>
      </w:r>
      <w:r w:rsidRPr="00CC5112">
        <w:rPr>
          <w:rFonts w:ascii="TimesNewRoman,Bold" w:hAnsi="TimesNewRoman,Bold" w:cs="TimesNewRoman,Bold"/>
          <w:bCs/>
          <w:lang w:eastAsia="en-US"/>
        </w:rPr>
        <w:t xml:space="preserve">ų </w:t>
      </w:r>
      <w:r w:rsidRPr="00CC5112">
        <w:rPr>
          <w:bCs/>
          <w:lang w:eastAsia="en-US"/>
        </w:rPr>
        <w:t>statybos darb</w:t>
      </w:r>
      <w:r w:rsidRPr="00CC5112">
        <w:rPr>
          <w:rFonts w:ascii="TimesNewRoman,Bold" w:hAnsi="TimesNewRoman,Bold" w:cs="TimesNewRoman,Bold"/>
          <w:bCs/>
          <w:lang w:eastAsia="en-US"/>
        </w:rPr>
        <w:t>ų</w:t>
      </w:r>
      <w:r w:rsidRPr="00CC5112">
        <w:rPr>
          <w:rFonts w:ascii="TimesNewRoman,Bold" w:hAnsi="TimesNewRoman,Bold" w:cs="TimesNewRoman,Bold"/>
          <w:b/>
          <w:bCs/>
          <w:lang w:eastAsia="en-US"/>
        </w:rPr>
        <w:t xml:space="preserve"> </w:t>
      </w:r>
      <w:r w:rsidRPr="00CC5112">
        <w:rPr>
          <w:lang w:eastAsia="en-US"/>
        </w:rPr>
        <w:t>išlaidos pripaž</w:t>
      </w:r>
      <w:r w:rsidRPr="00CC5112">
        <w:rPr>
          <w:rFonts w:ascii="TimesNewRoman" w:hAnsi="TimesNewRoman" w:cs="TimesNewRoman"/>
          <w:lang w:eastAsia="en-US"/>
        </w:rPr>
        <w:t>į</w:t>
      </w:r>
      <w:r w:rsidRPr="00CC5112">
        <w:rPr>
          <w:lang w:eastAsia="en-US"/>
        </w:rPr>
        <w:t>stamos s</w:t>
      </w:r>
      <w:r w:rsidRPr="00CC5112">
        <w:rPr>
          <w:rFonts w:ascii="TimesNewRoman" w:hAnsi="TimesNewRoman" w:cs="TimesNewRoman"/>
          <w:lang w:eastAsia="en-US"/>
        </w:rPr>
        <w:t>ą</w:t>
      </w:r>
      <w:r w:rsidRPr="00CC5112">
        <w:rPr>
          <w:lang w:eastAsia="en-US"/>
        </w:rPr>
        <w:t>naudomis t</w:t>
      </w:r>
      <w:r w:rsidRPr="00CC5112">
        <w:rPr>
          <w:rFonts w:ascii="TimesNewRoman" w:hAnsi="TimesNewRoman" w:cs="TimesNewRoman"/>
          <w:lang w:eastAsia="en-US"/>
        </w:rPr>
        <w:t xml:space="preserve">ą </w:t>
      </w:r>
      <w:r w:rsidRPr="00CC5112">
        <w:rPr>
          <w:lang w:eastAsia="en-US"/>
        </w:rPr>
        <w:t>ataskaitin</w:t>
      </w:r>
      <w:r w:rsidRPr="00CC5112">
        <w:rPr>
          <w:rFonts w:ascii="TimesNewRoman" w:hAnsi="TimesNewRoman" w:cs="TimesNewRoman"/>
          <w:lang w:eastAsia="en-US"/>
        </w:rPr>
        <w:t xml:space="preserve">į </w:t>
      </w:r>
      <w:r w:rsidRPr="00CC5112">
        <w:rPr>
          <w:lang w:eastAsia="en-US"/>
        </w:rPr>
        <w:t>laikotarp</w:t>
      </w:r>
      <w:r w:rsidRPr="00CC5112">
        <w:rPr>
          <w:rFonts w:ascii="TimesNewRoman" w:hAnsi="TimesNewRoman" w:cs="TimesNewRoman"/>
          <w:lang w:eastAsia="en-US"/>
        </w:rPr>
        <w:t>į</w:t>
      </w:r>
      <w:r w:rsidRPr="00CC5112">
        <w:rPr>
          <w:lang w:eastAsia="en-US"/>
        </w:rPr>
        <w:t>, kai jos padaromos.</w:t>
      </w:r>
      <w:r w:rsidRPr="00CC5112">
        <w:t xml:space="preserve"> </w:t>
      </w:r>
    </w:p>
    <w:p w:rsidR="00E5791B" w:rsidRPr="00CC5112" w:rsidRDefault="00E5791B" w:rsidP="00ED3C52">
      <w:pPr>
        <w:tabs>
          <w:tab w:val="left" w:pos="1134"/>
          <w:tab w:val="left" w:pos="2552"/>
        </w:tabs>
        <w:suppressAutoHyphens w:val="0"/>
        <w:autoSpaceDE w:val="0"/>
        <w:autoSpaceDN w:val="0"/>
        <w:adjustRightInd w:val="0"/>
        <w:spacing w:before="25" w:afterLines="25" w:after="60"/>
        <w:ind w:firstLine="1134"/>
        <w:jc w:val="both"/>
      </w:pPr>
      <w:r w:rsidRPr="00CC5112">
        <w:t>Jei viešojo sektoriaus subjektas, siekdamas įgyvendinti viešąjį interesą, atlieka turto, kurio nevaldo, kuriuo nesinaudoja (nesinuomoja ar kitaip nesinaudoja) ir nedisponuoja, esminio pagerinimo darbus, išlaidas šiems darbams atlikti pripažįsta sąnaudomis tą ataskaitinį laikotarpį, kai jos padaromos.</w:t>
      </w:r>
    </w:p>
    <w:p w:rsidR="00E5791B" w:rsidRPr="00CC5112" w:rsidRDefault="00E5791B" w:rsidP="00ED3C52">
      <w:pPr>
        <w:tabs>
          <w:tab w:val="left" w:pos="1134"/>
          <w:tab w:val="left" w:pos="2552"/>
        </w:tabs>
        <w:suppressAutoHyphens w:val="0"/>
        <w:autoSpaceDE w:val="0"/>
        <w:autoSpaceDN w:val="0"/>
        <w:adjustRightInd w:val="0"/>
        <w:spacing w:before="25" w:afterLines="25" w:after="60"/>
        <w:ind w:firstLine="1134"/>
        <w:jc w:val="both"/>
      </w:pPr>
      <w:r w:rsidRPr="00CC5112">
        <w:t>Atliktų žemės gerinimo darbų, tokių kaip žemės sklypo melioravimo darbai, akmenų rinkimas, šienavimas, ir panašios išlaidos pripažįstamos sąnaudomis tą ataskaitinį laikotarpį, kai jos padaromos.</w:t>
      </w:r>
    </w:p>
    <w:p w:rsidR="00E5791B" w:rsidRPr="00CC5112" w:rsidRDefault="00E5791B" w:rsidP="00ED3C52">
      <w:pPr>
        <w:ind w:firstLine="1134"/>
        <w:jc w:val="both"/>
        <w:rPr>
          <w:rFonts w:eastAsia="HG Mincho Light J" w:cs="Arial Unicode MS"/>
          <w:color w:val="000000"/>
        </w:rPr>
      </w:pPr>
      <w:r w:rsidRPr="00CC5112">
        <w:t xml:space="preserve">Savivaldybės VSS nematerialiojo ir materialiojo ilgalaikio turto nusidėvėjimą skaičiuoja vadovaujantis Šiaulių miesto savivaldybės tarybos </w:t>
      </w:r>
      <w:r w:rsidRPr="00CC5112">
        <w:rPr>
          <w:rFonts w:eastAsia="HG Mincho Light J" w:cs="Arial Unicode MS"/>
          <w:color w:val="000000"/>
        </w:rPr>
        <w:t xml:space="preserve">2010 m. balandžio 29 d. sprendimu T-139 </w:t>
      </w:r>
      <w:r w:rsidRPr="00CC5112">
        <w:t xml:space="preserve"> </w:t>
      </w:r>
      <w:r w:rsidRPr="00CC5112">
        <w:rPr>
          <w:rFonts w:eastAsia="HG Mincho Light J" w:cs="Arial Unicode MS"/>
          <w:color w:val="000000"/>
        </w:rPr>
        <w:t>patvirtintais ilgalaikio turto nusidėvėjimo (amortizacijos) normatyvais.</w:t>
      </w:r>
    </w:p>
    <w:p w:rsidR="00E5791B" w:rsidRPr="00CC5112" w:rsidRDefault="00E5791B" w:rsidP="00ED3C52">
      <w:pPr>
        <w:ind w:firstLine="1134"/>
        <w:jc w:val="both"/>
        <w:rPr>
          <w:b/>
        </w:rPr>
      </w:pPr>
      <w:r w:rsidRPr="00CC5112">
        <w:rPr>
          <w:b/>
        </w:rPr>
        <w:t>Biologinis turtas</w:t>
      </w:r>
    </w:p>
    <w:p w:rsidR="00E5791B" w:rsidRPr="00CC5112" w:rsidRDefault="00E5791B" w:rsidP="00E5791B">
      <w:pPr>
        <w:jc w:val="both"/>
        <w:rPr>
          <w:b/>
        </w:rPr>
      </w:pPr>
    </w:p>
    <w:p w:rsidR="00E5791B" w:rsidRPr="00CC5112" w:rsidRDefault="00E5791B" w:rsidP="00ED3C52">
      <w:pPr>
        <w:tabs>
          <w:tab w:val="left" w:pos="1134"/>
          <w:tab w:val="left" w:pos="2552"/>
        </w:tabs>
        <w:spacing w:before="25" w:after="25"/>
        <w:ind w:firstLine="1134"/>
        <w:jc w:val="both"/>
      </w:pPr>
      <w:r w:rsidRPr="00CC5112">
        <w:t>Biologinio turto apskaitos politika nustatyta 16-ajame VSAFAS „Biologinis turtas ir mineraliniai ištekliai“.</w:t>
      </w:r>
    </w:p>
    <w:p w:rsidR="00E5791B" w:rsidRPr="00CC5112" w:rsidRDefault="00E5791B" w:rsidP="00ED3C52">
      <w:pPr>
        <w:tabs>
          <w:tab w:val="left" w:pos="1134"/>
          <w:tab w:val="left" w:pos="2552"/>
        </w:tabs>
        <w:spacing w:before="25" w:after="25"/>
        <w:ind w:firstLine="1134"/>
        <w:jc w:val="both"/>
      </w:pPr>
      <w:r w:rsidRPr="00CC5112">
        <w:t xml:space="preserve">Biologinis turtas registruojamas apskaitoje, jeigu atitinka 16-ajame VSAFAS nurodytus turto pripažinimo kriterijus. </w:t>
      </w:r>
    </w:p>
    <w:p w:rsidR="00E5791B" w:rsidRPr="00CC5112" w:rsidRDefault="00E5791B" w:rsidP="00ED3C52">
      <w:pPr>
        <w:tabs>
          <w:tab w:val="left" w:pos="1134"/>
          <w:tab w:val="left" w:pos="2552"/>
        </w:tabs>
        <w:spacing w:before="25" w:after="25"/>
        <w:ind w:firstLine="1134"/>
        <w:jc w:val="both"/>
      </w:pPr>
      <w:r w:rsidRPr="00CC5112">
        <w:t>Pirminio pripažinimo metu ne žemės ūkio paskirties biologinis turto vienetas apskaitoje registruojamas ir finansinėse ataskaitose rodomas taip:</w:t>
      </w:r>
    </w:p>
    <w:p w:rsidR="00E5791B" w:rsidRPr="00CC5112" w:rsidRDefault="00E5791B" w:rsidP="00ED3C52">
      <w:pPr>
        <w:numPr>
          <w:ilvl w:val="1"/>
          <w:numId w:val="7"/>
        </w:numPr>
        <w:tabs>
          <w:tab w:val="left" w:pos="1418"/>
          <w:tab w:val="left" w:pos="2552"/>
        </w:tabs>
        <w:spacing w:before="25" w:after="25"/>
        <w:ind w:left="0" w:firstLine="1134"/>
        <w:jc w:val="both"/>
      </w:pPr>
      <w:r w:rsidRPr="00CC5112">
        <w:t>įsigijimo arba pasigaminimo savikaina, jei ji gali būti patikimai nustatyta;</w:t>
      </w:r>
    </w:p>
    <w:p w:rsidR="00E5791B" w:rsidRPr="00CC5112" w:rsidRDefault="00E5791B" w:rsidP="00ED3C52">
      <w:pPr>
        <w:numPr>
          <w:ilvl w:val="1"/>
          <w:numId w:val="7"/>
        </w:numPr>
        <w:tabs>
          <w:tab w:val="left" w:pos="1418"/>
          <w:tab w:val="left" w:pos="2552"/>
        </w:tabs>
        <w:spacing w:before="25" w:after="25"/>
        <w:ind w:left="0" w:firstLine="1134"/>
        <w:jc w:val="both"/>
      </w:pPr>
      <w:r w:rsidRPr="00CC5112">
        <w:t>simboline vieno euro verte, jei neturima nustatytų taisyklių (metodikos) ir įsigijimo savikaina yra lygi nuliui arba negali būti patikimai nustatyta.</w:t>
      </w:r>
    </w:p>
    <w:p w:rsidR="00E5791B" w:rsidRPr="00CC5112" w:rsidRDefault="00E5791B" w:rsidP="00ED3C52">
      <w:pPr>
        <w:tabs>
          <w:tab w:val="left" w:pos="1134"/>
          <w:tab w:val="left" w:pos="2552"/>
        </w:tabs>
        <w:spacing w:before="25" w:after="25"/>
        <w:ind w:firstLine="1134"/>
        <w:jc w:val="both"/>
      </w:pPr>
      <w:r w:rsidRPr="00CC5112">
        <w:t>Pelnas arba nuostoliai, susiję su biologinio turto tikrosios vertės pasikeitimu, rodomi</w:t>
      </w:r>
      <w:r w:rsidR="00ED3C52" w:rsidRPr="00CC5112">
        <w:t xml:space="preserve"> </w:t>
      </w:r>
      <w:r w:rsidRPr="00CC5112">
        <w:t>ataskaitinio laikotarpio, per kurį yra nustatyti, veiklos rezultatų ataskaitoje.</w:t>
      </w:r>
    </w:p>
    <w:p w:rsidR="00E5791B" w:rsidRPr="00CC5112" w:rsidRDefault="00E5791B" w:rsidP="00E5791B">
      <w:pPr>
        <w:tabs>
          <w:tab w:val="left" w:pos="1134"/>
          <w:tab w:val="left" w:pos="2552"/>
        </w:tabs>
        <w:spacing w:before="25" w:after="25"/>
        <w:jc w:val="both"/>
      </w:pPr>
    </w:p>
    <w:p w:rsidR="00E5791B" w:rsidRPr="00CC5112" w:rsidRDefault="00E5791B" w:rsidP="00ED3C52">
      <w:pPr>
        <w:ind w:firstLine="1134"/>
        <w:jc w:val="both"/>
        <w:rPr>
          <w:b/>
          <w:bCs/>
        </w:rPr>
      </w:pPr>
      <w:r w:rsidRPr="00CC5112">
        <w:rPr>
          <w:b/>
          <w:bCs/>
        </w:rPr>
        <w:t>Atsargos</w:t>
      </w:r>
    </w:p>
    <w:p w:rsidR="00E5791B" w:rsidRPr="00CC5112" w:rsidRDefault="00E5791B" w:rsidP="00E5791B">
      <w:pPr>
        <w:jc w:val="both"/>
        <w:rPr>
          <w:b/>
          <w:bCs/>
        </w:rPr>
      </w:pPr>
    </w:p>
    <w:p w:rsidR="00E5791B" w:rsidRPr="00CC5112" w:rsidRDefault="00E5791B" w:rsidP="00ED3C52">
      <w:pPr>
        <w:tabs>
          <w:tab w:val="left" w:pos="1134"/>
          <w:tab w:val="left" w:pos="2552"/>
        </w:tabs>
        <w:autoSpaceDE w:val="0"/>
        <w:spacing w:before="25" w:after="25"/>
        <w:ind w:firstLine="1134"/>
        <w:jc w:val="both"/>
      </w:pPr>
      <w:r w:rsidRPr="00CC5112">
        <w:t>Atsargų apskaitos metodai ir taisyklės nustatyti 8-ajame viešojo sektoriaus apskaitos ir finansinės atskaitomybės standarte „Atsargos“.</w:t>
      </w:r>
    </w:p>
    <w:p w:rsidR="00E5791B" w:rsidRPr="00CC5112" w:rsidRDefault="00E5791B" w:rsidP="00ED3C52">
      <w:pPr>
        <w:tabs>
          <w:tab w:val="left" w:pos="1134"/>
          <w:tab w:val="left" w:pos="2552"/>
        </w:tabs>
        <w:autoSpaceDE w:val="0"/>
        <w:spacing w:before="25" w:after="25"/>
        <w:ind w:firstLine="1134"/>
        <w:jc w:val="both"/>
      </w:pPr>
      <w:r w:rsidRPr="00CC5112">
        <w:t xml:space="preserve">Pirminio pripažinimo metu atsargos įvertinamos įsigijimo (pasigaminimo) savikaina, o sudarant finansines ataskaitas – įsigijimo (pasigaminimo) savikaina ar grynąja realizavimo verte, atsižvelgiant į tai, kuri iš jų mažesnė. Grynoji realizavimo vertė nenustatinėjama, kai atsargas ketinama sunaudoti per šį metinį laikotarpį. </w:t>
      </w:r>
    </w:p>
    <w:p w:rsidR="00E5791B" w:rsidRPr="00CC5112" w:rsidRDefault="00E5791B" w:rsidP="00ED3C52">
      <w:pPr>
        <w:tabs>
          <w:tab w:val="left" w:pos="1134"/>
          <w:tab w:val="left" w:pos="2552"/>
        </w:tabs>
        <w:autoSpaceDE w:val="0"/>
        <w:spacing w:before="25" w:after="25"/>
        <w:ind w:firstLine="1134"/>
        <w:jc w:val="both"/>
      </w:pPr>
      <w:r w:rsidRPr="00CC5112">
        <w:t>Apskaičiuojant atsargų, sunaudotų teikiant paslaugas, ar parduotų atsargų savikainą, taikomas konkrečių kainų arba FIFO įkainojimo metodą. Atsargų įkainojimo metodo pasirinkimas priklauso nuo atsargų pobūdžio.</w:t>
      </w:r>
    </w:p>
    <w:p w:rsidR="00E5791B" w:rsidRPr="00CC5112" w:rsidRDefault="00E5791B" w:rsidP="00ED3C52">
      <w:pPr>
        <w:tabs>
          <w:tab w:val="left" w:pos="1134"/>
          <w:tab w:val="left" w:pos="2552"/>
        </w:tabs>
        <w:autoSpaceDE w:val="0"/>
        <w:spacing w:before="25" w:after="25"/>
        <w:ind w:firstLine="1134"/>
        <w:jc w:val="both"/>
      </w:pPr>
      <w:r w:rsidRPr="00CC5112">
        <w:t xml:space="preserve">Sudarant finansines ataskaitas, atsargos gali būti nukainojamos iki grynosios realizavimo vertės tam, kad jų balansinė vertė neviršytų būsimos ekonominės naudos ar paslaugų vertės, kurią tikimasi gauti šias atsargas pardavus, paskirsčius ar panaudojus. </w:t>
      </w:r>
    </w:p>
    <w:p w:rsidR="00E5791B" w:rsidRPr="00CC5112" w:rsidRDefault="00E5791B" w:rsidP="00ED3C52">
      <w:pPr>
        <w:tabs>
          <w:tab w:val="left" w:pos="0"/>
          <w:tab w:val="left" w:pos="1134"/>
          <w:tab w:val="left" w:pos="2552"/>
        </w:tabs>
        <w:autoSpaceDE w:val="0"/>
        <w:spacing w:before="25" w:after="25"/>
        <w:ind w:firstLine="1134"/>
        <w:jc w:val="both"/>
      </w:pPr>
      <w:r w:rsidRPr="00CC5112">
        <w:t>Kai atsargos parduodamos ar perduodamos, jų balansinė vertė pripažįstama sąnaudomis to laikotarpio, kuriuo pripažįstamos atitinkamos pajamos. Atsargų sunaudojimas arba pardavimas apskaitoje registruojamas pagal nuolat apskaitomų atsargų būdą, kai buhalterinėje apskaitoje registruojama kiekviena su atsargų sunaudojimu arba pardavimu susijusi operacija.</w:t>
      </w:r>
    </w:p>
    <w:p w:rsidR="00E5791B" w:rsidRPr="00CC5112" w:rsidRDefault="00E5791B" w:rsidP="00ED3C52">
      <w:pPr>
        <w:tabs>
          <w:tab w:val="left" w:pos="1134"/>
          <w:tab w:val="left" w:pos="2552"/>
        </w:tabs>
        <w:autoSpaceDE w:val="0"/>
        <w:spacing w:before="25" w:after="25"/>
        <w:ind w:firstLine="1134"/>
        <w:jc w:val="both"/>
      </w:pPr>
      <w:r w:rsidRPr="00CC5112">
        <w:t xml:space="preserve">Prie atsargų priskiriamas neatiduotas naudoti ūkinis inventorius. Atiduoto naudoti inventoriaus vertė iš karto įtraukiama į sąnaudas. Naudojamo inventoriaus kiekinė ir vertinė apskaita tvarkoma nebalansinėse sąskaitose. </w:t>
      </w:r>
    </w:p>
    <w:p w:rsidR="00E5791B" w:rsidRPr="00CC5112" w:rsidRDefault="00E5791B" w:rsidP="00E5791B">
      <w:pPr>
        <w:jc w:val="both"/>
      </w:pPr>
    </w:p>
    <w:p w:rsidR="00E5791B" w:rsidRPr="00CC5112" w:rsidRDefault="00E5791B" w:rsidP="00ED3C52">
      <w:pPr>
        <w:ind w:firstLine="1134"/>
        <w:jc w:val="both"/>
        <w:rPr>
          <w:b/>
          <w:bCs/>
        </w:rPr>
      </w:pPr>
      <w:r w:rsidRPr="00CC5112">
        <w:rPr>
          <w:b/>
          <w:bCs/>
        </w:rPr>
        <w:t>Finansinis turtas</w:t>
      </w:r>
    </w:p>
    <w:p w:rsidR="00E5791B" w:rsidRPr="00CC5112" w:rsidRDefault="00E5791B" w:rsidP="00E5791B">
      <w:pPr>
        <w:jc w:val="both"/>
        <w:rPr>
          <w:b/>
          <w:bCs/>
        </w:rPr>
      </w:pPr>
    </w:p>
    <w:p w:rsidR="00E5791B" w:rsidRPr="00CC5112" w:rsidRDefault="00E5791B" w:rsidP="00ED3C52">
      <w:pPr>
        <w:tabs>
          <w:tab w:val="left" w:pos="1134"/>
          <w:tab w:val="left" w:pos="2552"/>
        </w:tabs>
        <w:autoSpaceDE w:val="0"/>
        <w:spacing w:before="25" w:after="25"/>
        <w:ind w:firstLine="1134"/>
        <w:jc w:val="both"/>
      </w:pPr>
      <w:r w:rsidRPr="00CC5112">
        <w:t>Finansinio turto apskaitos metodai ir taisyklės nustatyti 14-ajame viešojo sektoriaus apskaitos ir finansinės atskaitomybės standarte „Jungimai ir investicijos į asocijuotuosius subjektus“, 15-ajame viešojo sektoriaus apskaitos ir finansinės atskaitomybės standarte „Konsoliduotųjų finansinių ataskaitų rinkinys ir investicijos į kontroliuojamus subjektus“ ir 17-ajame viešojo sektoriaus apskaitos ir finansinės atskaitomybės standarte „Finansinis turtas ir finansiniai įsipareigojimai“.</w:t>
      </w:r>
    </w:p>
    <w:p w:rsidR="00E5791B" w:rsidRPr="00CC5112" w:rsidRDefault="00E5791B" w:rsidP="00ED3C52">
      <w:pPr>
        <w:tabs>
          <w:tab w:val="left" w:pos="1134"/>
          <w:tab w:val="left" w:pos="2552"/>
        </w:tabs>
        <w:autoSpaceDE w:val="0"/>
        <w:spacing w:before="25" w:after="25"/>
        <w:ind w:firstLine="1134"/>
        <w:jc w:val="both"/>
      </w:pPr>
      <w:r w:rsidRPr="00CC5112">
        <w:t>Finansinis turtas yra skirstomas į ilgalaikį ir trumpalaikį.</w:t>
      </w:r>
    </w:p>
    <w:p w:rsidR="00E5791B" w:rsidRPr="00CC5112" w:rsidRDefault="00E5791B" w:rsidP="00ED3C52">
      <w:pPr>
        <w:pStyle w:val="Sraopastraipa"/>
        <w:tabs>
          <w:tab w:val="left" w:pos="1134"/>
          <w:tab w:val="left" w:pos="2552"/>
        </w:tabs>
        <w:autoSpaceDE w:val="0"/>
        <w:spacing w:before="25" w:after="25"/>
        <w:ind w:left="0" w:firstLine="1134"/>
        <w:jc w:val="both"/>
      </w:pPr>
      <w:r w:rsidRPr="00CC5112">
        <w:t>Ilgalaikiam finansiniam turtui priskiriama:</w:t>
      </w:r>
    </w:p>
    <w:p w:rsidR="00E5791B" w:rsidRPr="00CC5112" w:rsidRDefault="00E5791B" w:rsidP="00ED3C52">
      <w:pPr>
        <w:pStyle w:val="Sraopastraipa"/>
        <w:numPr>
          <w:ilvl w:val="0"/>
          <w:numId w:val="13"/>
        </w:numPr>
        <w:tabs>
          <w:tab w:val="left" w:pos="1134"/>
          <w:tab w:val="left" w:pos="1560"/>
        </w:tabs>
        <w:autoSpaceDE w:val="0"/>
        <w:ind w:left="0" w:firstLine="1134"/>
        <w:jc w:val="both"/>
      </w:pPr>
      <w:r w:rsidRPr="00CC5112">
        <w:t xml:space="preserve">ilgalaikės investicijos į nuosavybės vertybinius popierius; </w:t>
      </w:r>
    </w:p>
    <w:p w:rsidR="00E5791B" w:rsidRPr="00CC5112" w:rsidRDefault="00E5791B" w:rsidP="00ED3C52">
      <w:pPr>
        <w:pStyle w:val="Sraopastraipa"/>
        <w:numPr>
          <w:ilvl w:val="0"/>
          <w:numId w:val="13"/>
        </w:numPr>
        <w:tabs>
          <w:tab w:val="left" w:pos="1134"/>
          <w:tab w:val="left" w:pos="1560"/>
        </w:tabs>
        <w:autoSpaceDE w:val="0"/>
        <w:ind w:left="0" w:firstLine="1134"/>
        <w:jc w:val="both"/>
      </w:pPr>
      <w:r w:rsidRPr="00CC5112">
        <w:t xml:space="preserve">po vienų metų gautinos sumos; </w:t>
      </w:r>
    </w:p>
    <w:p w:rsidR="00E5791B" w:rsidRPr="00CC5112" w:rsidRDefault="00E5791B" w:rsidP="00ED3C52">
      <w:pPr>
        <w:pStyle w:val="Sraopastraipa"/>
        <w:numPr>
          <w:ilvl w:val="0"/>
          <w:numId w:val="13"/>
        </w:numPr>
        <w:tabs>
          <w:tab w:val="left" w:pos="1134"/>
          <w:tab w:val="left" w:pos="1560"/>
        </w:tabs>
        <w:autoSpaceDE w:val="0"/>
        <w:ind w:left="0" w:firstLine="1134"/>
        <w:jc w:val="both"/>
      </w:pPr>
      <w:r w:rsidRPr="00CC5112">
        <w:t>kitas ilgalaikis finansinis turtas.</w:t>
      </w:r>
    </w:p>
    <w:p w:rsidR="00E5791B" w:rsidRPr="00CC5112" w:rsidRDefault="00E5791B" w:rsidP="00ED3C52">
      <w:pPr>
        <w:tabs>
          <w:tab w:val="left" w:pos="1134"/>
          <w:tab w:val="left" w:pos="1560"/>
        </w:tabs>
        <w:autoSpaceDE w:val="0"/>
        <w:ind w:firstLine="1134"/>
        <w:jc w:val="both"/>
      </w:pPr>
      <w:r w:rsidRPr="00CC5112">
        <w:t>Trumpalaikiam finansiniam turtui priskiriama:</w:t>
      </w:r>
    </w:p>
    <w:p w:rsidR="00E5791B" w:rsidRPr="00CC5112" w:rsidRDefault="00E5791B" w:rsidP="00ED3C52">
      <w:pPr>
        <w:pStyle w:val="Sraopastraipa"/>
        <w:numPr>
          <w:ilvl w:val="0"/>
          <w:numId w:val="9"/>
        </w:numPr>
        <w:tabs>
          <w:tab w:val="left" w:pos="1134"/>
          <w:tab w:val="left" w:pos="1560"/>
        </w:tabs>
        <w:autoSpaceDE w:val="0"/>
        <w:ind w:left="0" w:firstLine="1134"/>
        <w:jc w:val="both"/>
      </w:pPr>
      <w:r w:rsidRPr="00CC5112">
        <w:t xml:space="preserve">per vienus metus gautinos sumos (įskaitant ilgalaikių gautinų sumų einamųjų metų dalį); </w:t>
      </w:r>
    </w:p>
    <w:p w:rsidR="00E5791B" w:rsidRPr="00CC5112" w:rsidRDefault="00E5791B" w:rsidP="00ED3C52">
      <w:pPr>
        <w:pStyle w:val="Sraopastraipa"/>
        <w:numPr>
          <w:ilvl w:val="0"/>
          <w:numId w:val="9"/>
        </w:numPr>
        <w:tabs>
          <w:tab w:val="left" w:pos="1134"/>
          <w:tab w:val="left" w:pos="1560"/>
        </w:tabs>
        <w:autoSpaceDE w:val="0"/>
        <w:ind w:left="0" w:firstLine="1134"/>
        <w:jc w:val="both"/>
      </w:pPr>
      <w:r w:rsidRPr="00CC5112">
        <w:t>pinigai ir pinigų ekvivalentai;</w:t>
      </w:r>
    </w:p>
    <w:p w:rsidR="00E5791B" w:rsidRPr="00CC5112" w:rsidRDefault="00E5791B" w:rsidP="00ED3C52">
      <w:pPr>
        <w:pStyle w:val="Sraopastraipa"/>
        <w:numPr>
          <w:ilvl w:val="0"/>
          <w:numId w:val="9"/>
        </w:numPr>
        <w:tabs>
          <w:tab w:val="left" w:pos="1134"/>
          <w:tab w:val="left" w:pos="1560"/>
        </w:tabs>
        <w:autoSpaceDE w:val="0"/>
        <w:ind w:left="0" w:firstLine="1134"/>
        <w:jc w:val="both"/>
      </w:pPr>
      <w:r w:rsidRPr="00CC5112">
        <w:t>kitas trumpalaikis finansinis turtas.</w:t>
      </w:r>
    </w:p>
    <w:p w:rsidR="00E5791B" w:rsidRPr="00CC5112" w:rsidRDefault="00E5791B" w:rsidP="00ED3C52">
      <w:pPr>
        <w:tabs>
          <w:tab w:val="left" w:pos="1134"/>
          <w:tab w:val="left" w:pos="1560"/>
        </w:tabs>
        <w:autoSpaceDE w:val="0"/>
        <w:ind w:firstLine="1134"/>
        <w:jc w:val="both"/>
      </w:pPr>
      <w:r w:rsidRPr="00CC5112">
        <w:t>Investicijos į kitus subjektus, priklausomai nuo to, kiek procentų turima balsavimo teisių, skirstomos:</w:t>
      </w:r>
    </w:p>
    <w:p w:rsidR="00E5791B" w:rsidRPr="00CC5112" w:rsidRDefault="00E5791B" w:rsidP="00ED3C52">
      <w:pPr>
        <w:pStyle w:val="Sraopastraipa"/>
        <w:numPr>
          <w:ilvl w:val="0"/>
          <w:numId w:val="10"/>
        </w:numPr>
        <w:tabs>
          <w:tab w:val="left" w:pos="1134"/>
          <w:tab w:val="left" w:pos="1560"/>
        </w:tabs>
        <w:autoSpaceDE w:val="0"/>
        <w:ind w:left="0" w:firstLine="1134"/>
        <w:jc w:val="both"/>
      </w:pPr>
      <w:r w:rsidRPr="00CC5112">
        <w:t>investicijos į kontroliuojamuosius subjektus;</w:t>
      </w:r>
    </w:p>
    <w:p w:rsidR="00E5791B" w:rsidRPr="00CC5112" w:rsidRDefault="00E5791B" w:rsidP="00ED3C52">
      <w:pPr>
        <w:pStyle w:val="Sraopastraipa"/>
        <w:numPr>
          <w:ilvl w:val="0"/>
          <w:numId w:val="10"/>
        </w:numPr>
        <w:tabs>
          <w:tab w:val="left" w:pos="1134"/>
          <w:tab w:val="left" w:pos="1560"/>
        </w:tabs>
        <w:autoSpaceDE w:val="0"/>
        <w:ind w:left="0" w:firstLine="1134"/>
        <w:jc w:val="both"/>
      </w:pPr>
      <w:r w:rsidRPr="00CC5112">
        <w:t>investicijos į asocijuotuosius subjektus;</w:t>
      </w:r>
    </w:p>
    <w:p w:rsidR="00E5791B" w:rsidRPr="00CC5112" w:rsidRDefault="00E5791B" w:rsidP="00ED3C52">
      <w:pPr>
        <w:pStyle w:val="Sraopastraipa"/>
        <w:numPr>
          <w:ilvl w:val="0"/>
          <w:numId w:val="10"/>
        </w:numPr>
        <w:tabs>
          <w:tab w:val="left" w:pos="1134"/>
          <w:tab w:val="left" w:pos="1560"/>
        </w:tabs>
        <w:autoSpaceDE w:val="0"/>
        <w:ind w:left="0" w:firstLine="1134"/>
        <w:jc w:val="both"/>
      </w:pPr>
      <w:r w:rsidRPr="00CC5112">
        <w:t>paprastosios investicijos.</w:t>
      </w:r>
    </w:p>
    <w:p w:rsidR="00E5791B" w:rsidRPr="00CC5112" w:rsidRDefault="00E5791B" w:rsidP="00ED3C52">
      <w:pPr>
        <w:tabs>
          <w:tab w:val="left" w:pos="1134"/>
          <w:tab w:val="left" w:pos="2552"/>
        </w:tabs>
        <w:autoSpaceDE w:val="0"/>
        <w:spacing w:before="25" w:after="25"/>
        <w:ind w:firstLine="1134"/>
        <w:jc w:val="both"/>
      </w:pPr>
      <w:r w:rsidRPr="00CC5112">
        <w:t>Investicijos į kontroliuojamuosius, asocijuotuosius ir kitus subjektus apskaitoje pirminio pripažinimo momentu registruojamos savikainos metodu (įsigijimo savikaina), o vėliau bei parodomos finansinėse ataskaitose savikainos ar nuosavybės metodu. Investicijų apskaitos ir pateikimo finansinėse ataskaitose metodai pateikti 1 lentelėje.</w:t>
      </w:r>
    </w:p>
    <w:p w:rsidR="00E5791B" w:rsidRPr="00CC5112" w:rsidRDefault="00E5791B" w:rsidP="00E5791B">
      <w:pPr>
        <w:tabs>
          <w:tab w:val="left" w:pos="1701"/>
          <w:tab w:val="left" w:pos="2552"/>
        </w:tabs>
        <w:autoSpaceDE w:val="0"/>
        <w:spacing w:before="25" w:after="25" w:line="300" w:lineRule="auto"/>
        <w:ind w:firstLine="851"/>
        <w:jc w:val="right"/>
      </w:pPr>
      <w:r w:rsidRPr="00CC5112">
        <w:t>1 lentelė</w:t>
      </w:r>
    </w:p>
    <w:p w:rsidR="00E5791B" w:rsidRPr="00CC5112" w:rsidRDefault="00E5791B" w:rsidP="00E5791B">
      <w:pPr>
        <w:tabs>
          <w:tab w:val="left" w:pos="1701"/>
          <w:tab w:val="left" w:pos="2552"/>
        </w:tabs>
        <w:autoSpaceDE w:val="0"/>
        <w:ind w:firstLine="851"/>
        <w:jc w:val="both"/>
        <w:rPr>
          <w:b/>
        </w:rPr>
      </w:pPr>
      <w:r w:rsidRPr="00CC5112">
        <w:rPr>
          <w:b/>
        </w:rPr>
        <w:t>Investicijų apskaitos metodai ir pateikimas finansinėse ataskaitose</w:t>
      </w:r>
      <w:r w:rsidR="005725E5" w:rsidRPr="00CC5112">
        <w:rPr>
          <w:b/>
        </w:rPr>
        <w:t>:</w:t>
      </w:r>
    </w:p>
    <w:p w:rsidR="005725E5" w:rsidRPr="00CC5112" w:rsidRDefault="005725E5" w:rsidP="00E5791B">
      <w:pPr>
        <w:tabs>
          <w:tab w:val="left" w:pos="1701"/>
          <w:tab w:val="left" w:pos="2552"/>
        </w:tabs>
        <w:autoSpaceDE w:val="0"/>
        <w:ind w:firstLine="851"/>
        <w:jc w:val="both"/>
        <w:rPr>
          <w:b/>
        </w:rPr>
      </w:pPr>
    </w:p>
    <w:tbl>
      <w:tblPr>
        <w:tblW w:w="0" w:type="auto"/>
        <w:tblInd w:w="-144" w:type="dxa"/>
        <w:tblLayout w:type="fixed"/>
        <w:tblCellMar>
          <w:left w:w="0" w:type="dxa"/>
          <w:right w:w="0" w:type="dxa"/>
        </w:tblCellMar>
        <w:tblLook w:val="0000" w:firstRow="0" w:lastRow="0" w:firstColumn="0" w:lastColumn="0" w:noHBand="0" w:noVBand="0"/>
      </w:tblPr>
      <w:tblGrid>
        <w:gridCol w:w="2034"/>
        <w:gridCol w:w="2373"/>
        <w:gridCol w:w="2667"/>
        <w:gridCol w:w="2587"/>
      </w:tblGrid>
      <w:tr w:rsidR="00E5791B" w:rsidRPr="00CC5112" w:rsidTr="00D853FE">
        <w:trPr>
          <w:trHeight w:val="215"/>
        </w:trPr>
        <w:tc>
          <w:tcPr>
            <w:tcW w:w="2034" w:type="dxa"/>
            <w:vMerge w:val="restart"/>
            <w:tcBorders>
              <w:top w:val="single" w:sz="8" w:space="0" w:color="000000"/>
              <w:left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2552"/>
              </w:tabs>
              <w:autoSpaceDE w:val="0"/>
              <w:snapToGrid w:val="0"/>
              <w:jc w:val="center"/>
              <w:rPr>
                <w:b/>
                <w:bCs/>
                <w:sz w:val="20"/>
                <w:szCs w:val="20"/>
              </w:rPr>
            </w:pPr>
            <w:r w:rsidRPr="00CC5112">
              <w:rPr>
                <w:b/>
                <w:bCs/>
                <w:sz w:val="20"/>
                <w:szCs w:val="20"/>
              </w:rPr>
              <w:t>Subjektas</w:t>
            </w:r>
          </w:p>
        </w:tc>
        <w:tc>
          <w:tcPr>
            <w:tcW w:w="2373" w:type="dxa"/>
            <w:vMerge w:val="restart"/>
            <w:tcBorders>
              <w:top w:val="single" w:sz="8" w:space="0" w:color="000000"/>
              <w:lef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b/>
                <w:sz w:val="20"/>
                <w:szCs w:val="20"/>
              </w:rPr>
            </w:pPr>
            <w:r w:rsidRPr="00CC5112">
              <w:rPr>
                <w:b/>
                <w:sz w:val="20"/>
                <w:szCs w:val="20"/>
              </w:rPr>
              <w:t>Šiaulių miesto savivaldybei priklausantis balsų skaičius visuotiniame dalininkų (akcininkų) susirinkime</w:t>
            </w:r>
          </w:p>
        </w:tc>
        <w:tc>
          <w:tcPr>
            <w:tcW w:w="5254"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b/>
                <w:sz w:val="20"/>
                <w:szCs w:val="20"/>
              </w:rPr>
            </w:pPr>
            <w:r w:rsidRPr="00CC5112">
              <w:rPr>
                <w:b/>
                <w:sz w:val="20"/>
                <w:szCs w:val="20"/>
              </w:rPr>
              <w:t>Pateikimas finansinėse ataskaitose</w:t>
            </w:r>
          </w:p>
        </w:tc>
      </w:tr>
      <w:tr w:rsidR="00E5791B" w:rsidRPr="00CC5112" w:rsidTr="00D853FE">
        <w:trPr>
          <w:trHeight w:val="513"/>
        </w:trPr>
        <w:tc>
          <w:tcPr>
            <w:tcW w:w="2034" w:type="dxa"/>
            <w:vMerge/>
            <w:tcBorders>
              <w:left w:val="single" w:sz="8" w:space="0" w:color="000000"/>
              <w:bottom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2552"/>
              </w:tabs>
              <w:autoSpaceDE w:val="0"/>
              <w:snapToGrid w:val="0"/>
              <w:jc w:val="center"/>
              <w:rPr>
                <w:b/>
                <w:bCs/>
                <w:sz w:val="20"/>
                <w:szCs w:val="20"/>
              </w:rPr>
            </w:pPr>
          </w:p>
        </w:tc>
        <w:tc>
          <w:tcPr>
            <w:tcW w:w="2373" w:type="dxa"/>
            <w:vMerge/>
            <w:tcBorders>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b/>
                <w:sz w:val="20"/>
                <w:szCs w:val="20"/>
              </w:rPr>
            </w:pPr>
          </w:p>
        </w:tc>
        <w:tc>
          <w:tcPr>
            <w:tcW w:w="2667"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b/>
                <w:sz w:val="20"/>
                <w:szCs w:val="20"/>
              </w:rPr>
            </w:pPr>
            <w:r w:rsidRPr="00CC5112">
              <w:rPr>
                <w:b/>
                <w:sz w:val="20"/>
                <w:szCs w:val="20"/>
              </w:rPr>
              <w:t>Atskirose finansinėse ataskaitose</w:t>
            </w:r>
          </w:p>
        </w:tc>
        <w:tc>
          <w:tcPr>
            <w:tcW w:w="2587" w:type="dxa"/>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b/>
                <w:sz w:val="20"/>
                <w:szCs w:val="20"/>
              </w:rPr>
            </w:pPr>
            <w:r w:rsidRPr="00CC5112">
              <w:rPr>
                <w:b/>
                <w:sz w:val="20"/>
                <w:szCs w:val="20"/>
              </w:rPr>
              <w:t>Konsoliduotose finansinėse ataskaitose</w:t>
            </w:r>
          </w:p>
        </w:tc>
      </w:tr>
      <w:tr w:rsidR="00E5791B" w:rsidRPr="00CC5112" w:rsidTr="00D853FE">
        <w:trPr>
          <w:trHeight w:val="513"/>
        </w:trPr>
        <w:tc>
          <w:tcPr>
            <w:tcW w:w="2034" w:type="dxa"/>
            <w:tcBorders>
              <w:top w:val="single" w:sz="8" w:space="0" w:color="000000"/>
              <w:left w:val="single" w:sz="8" w:space="0" w:color="000000"/>
              <w:bottom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2552"/>
              </w:tabs>
              <w:autoSpaceDE w:val="0"/>
              <w:snapToGrid w:val="0"/>
              <w:jc w:val="center"/>
              <w:rPr>
                <w:bCs/>
                <w:sz w:val="20"/>
                <w:szCs w:val="20"/>
              </w:rPr>
            </w:pPr>
            <w:r w:rsidRPr="00CC5112">
              <w:rPr>
                <w:bCs/>
                <w:sz w:val="20"/>
                <w:szCs w:val="20"/>
              </w:rPr>
              <w:t>Biudžetinės įstaigos</w:t>
            </w:r>
          </w:p>
        </w:tc>
        <w:tc>
          <w:tcPr>
            <w:tcW w:w="2373"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Pavaldi biudžetinė įstaiga</w:t>
            </w:r>
          </w:p>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p>
        </w:tc>
        <w:tc>
          <w:tcPr>
            <w:tcW w:w="2667"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Įsigijimo savikaina, prilyginta 0 €</w:t>
            </w:r>
          </w:p>
        </w:tc>
        <w:tc>
          <w:tcPr>
            <w:tcW w:w="2587" w:type="dxa"/>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Konsoliduojama</w:t>
            </w:r>
          </w:p>
        </w:tc>
      </w:tr>
      <w:tr w:rsidR="00E5791B" w:rsidRPr="00CC5112" w:rsidTr="00D853FE">
        <w:trPr>
          <w:trHeight w:val="673"/>
        </w:trPr>
        <w:tc>
          <w:tcPr>
            <w:tcW w:w="2034" w:type="dxa"/>
            <w:tcBorders>
              <w:top w:val="single" w:sz="8" w:space="0" w:color="000000"/>
              <w:left w:val="single" w:sz="8" w:space="0" w:color="000000"/>
              <w:bottom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2552"/>
              </w:tabs>
              <w:autoSpaceDE w:val="0"/>
              <w:snapToGrid w:val="0"/>
              <w:jc w:val="center"/>
              <w:rPr>
                <w:bCs/>
                <w:sz w:val="20"/>
                <w:szCs w:val="20"/>
              </w:rPr>
            </w:pPr>
            <w:r w:rsidRPr="00CC5112">
              <w:rPr>
                <w:bCs/>
                <w:sz w:val="20"/>
                <w:szCs w:val="20"/>
              </w:rPr>
              <w:t>Viešosios įstaigos, kurios priskiriamos viešojo sektoriaus subjektams</w:t>
            </w:r>
          </w:p>
        </w:tc>
        <w:tc>
          <w:tcPr>
            <w:tcW w:w="2373" w:type="dxa"/>
            <w:tcBorders>
              <w:top w:val="single" w:sz="8" w:space="0" w:color="000000"/>
              <w:lef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Kontroliuojama įstaiga</w:t>
            </w:r>
          </w:p>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arba</w:t>
            </w:r>
          </w:p>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bendrai kontroliuojama įstaiga</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c>
          <w:tcPr>
            <w:tcW w:w="2667" w:type="dxa"/>
            <w:tcBorders>
              <w:top w:val="single" w:sz="8" w:space="0" w:color="000000"/>
              <w:lef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Savikainos metodu</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c>
          <w:tcPr>
            <w:tcW w:w="2587" w:type="dxa"/>
            <w:tcBorders>
              <w:top w:val="single" w:sz="8" w:space="0" w:color="000000"/>
              <w:left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Konsoliduojama</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r>
      <w:tr w:rsidR="00E5791B" w:rsidRPr="00CC5112" w:rsidTr="00D853FE">
        <w:trPr>
          <w:trHeight w:val="823"/>
        </w:trPr>
        <w:tc>
          <w:tcPr>
            <w:tcW w:w="2034" w:type="dxa"/>
            <w:vMerge w:val="restart"/>
            <w:tcBorders>
              <w:top w:val="single" w:sz="8" w:space="0" w:color="000000"/>
              <w:left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2552"/>
              </w:tabs>
              <w:autoSpaceDE w:val="0"/>
              <w:snapToGrid w:val="0"/>
              <w:jc w:val="center"/>
              <w:rPr>
                <w:bCs/>
                <w:sz w:val="20"/>
                <w:szCs w:val="20"/>
              </w:rPr>
            </w:pPr>
            <w:r w:rsidRPr="00CC5112">
              <w:rPr>
                <w:bCs/>
                <w:sz w:val="20"/>
                <w:szCs w:val="20"/>
              </w:rPr>
              <w:t>Viešosios įstaigos, kurios nepriskiriamos viešojo sektoriaus subjektams</w:t>
            </w:r>
          </w:p>
        </w:tc>
        <w:tc>
          <w:tcPr>
            <w:tcW w:w="2373" w:type="dxa"/>
            <w:tcBorders>
              <w:top w:val="single" w:sz="8" w:space="0" w:color="000000"/>
              <w:lef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&lt; 20%</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c>
          <w:tcPr>
            <w:tcW w:w="2667" w:type="dxa"/>
            <w:tcBorders>
              <w:top w:val="single" w:sz="8" w:space="0" w:color="000000"/>
              <w:lef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Savikainos metodu</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c>
          <w:tcPr>
            <w:tcW w:w="2587" w:type="dxa"/>
            <w:tcBorders>
              <w:top w:val="single" w:sz="8" w:space="0" w:color="000000"/>
              <w:left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Savikainos metodu</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r>
      <w:tr w:rsidR="00E5791B" w:rsidRPr="00CC5112" w:rsidTr="00D853FE">
        <w:trPr>
          <w:trHeight w:val="358"/>
        </w:trPr>
        <w:tc>
          <w:tcPr>
            <w:tcW w:w="2034" w:type="dxa"/>
            <w:vMerge/>
            <w:tcBorders>
              <w:left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1980"/>
                <w:tab w:val="left" w:pos="2552"/>
              </w:tabs>
              <w:autoSpaceDE w:val="0"/>
              <w:snapToGrid w:val="0"/>
              <w:jc w:val="center"/>
              <w:rPr>
                <w:sz w:val="20"/>
                <w:szCs w:val="20"/>
              </w:rPr>
            </w:pPr>
          </w:p>
        </w:tc>
        <w:tc>
          <w:tcPr>
            <w:tcW w:w="2373"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20-50%</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c>
          <w:tcPr>
            <w:tcW w:w="2667"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c>
          <w:tcPr>
            <w:tcW w:w="2587" w:type="dxa"/>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r>
      <w:tr w:rsidR="00E5791B" w:rsidRPr="00CC5112" w:rsidTr="00D853FE">
        <w:trPr>
          <w:trHeight w:val="387"/>
        </w:trPr>
        <w:tc>
          <w:tcPr>
            <w:tcW w:w="2034" w:type="dxa"/>
            <w:vMerge/>
            <w:tcBorders>
              <w:left w:val="single" w:sz="8" w:space="0" w:color="000000"/>
              <w:bottom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1980"/>
                <w:tab w:val="left" w:pos="2552"/>
              </w:tabs>
              <w:autoSpaceDE w:val="0"/>
              <w:snapToGrid w:val="0"/>
              <w:jc w:val="center"/>
              <w:rPr>
                <w:sz w:val="20"/>
                <w:szCs w:val="20"/>
              </w:rPr>
            </w:pPr>
          </w:p>
        </w:tc>
        <w:tc>
          <w:tcPr>
            <w:tcW w:w="2373"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&gt; 50%</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c>
          <w:tcPr>
            <w:tcW w:w="2667"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c>
          <w:tcPr>
            <w:tcW w:w="2587" w:type="dxa"/>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p w:rsidR="00E5791B" w:rsidRPr="00CC5112" w:rsidRDefault="00E5791B" w:rsidP="00D853FE">
            <w:pPr>
              <w:widowControl w:val="0"/>
              <w:shd w:val="clear" w:color="auto" w:fill="FFFFFF"/>
              <w:tabs>
                <w:tab w:val="left" w:pos="1701"/>
                <w:tab w:val="left" w:pos="2552"/>
              </w:tabs>
              <w:autoSpaceDE w:val="0"/>
              <w:jc w:val="center"/>
              <w:rPr>
                <w:sz w:val="20"/>
                <w:szCs w:val="20"/>
              </w:rPr>
            </w:pPr>
          </w:p>
        </w:tc>
      </w:tr>
      <w:tr w:rsidR="00E5791B" w:rsidRPr="00CC5112" w:rsidTr="00D853FE">
        <w:trPr>
          <w:trHeight w:val="387"/>
        </w:trPr>
        <w:tc>
          <w:tcPr>
            <w:tcW w:w="2034" w:type="dxa"/>
            <w:vMerge w:val="restart"/>
            <w:tcBorders>
              <w:top w:val="single" w:sz="8" w:space="0" w:color="000000"/>
              <w:left w:val="single" w:sz="8" w:space="0" w:color="000000"/>
              <w:bottom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1980"/>
                <w:tab w:val="left" w:pos="2552"/>
              </w:tabs>
              <w:autoSpaceDE w:val="0"/>
              <w:snapToGrid w:val="0"/>
              <w:jc w:val="center"/>
              <w:rPr>
                <w:sz w:val="20"/>
                <w:szCs w:val="20"/>
              </w:rPr>
            </w:pPr>
            <w:r w:rsidRPr="00CC5112">
              <w:rPr>
                <w:sz w:val="20"/>
                <w:szCs w:val="20"/>
              </w:rPr>
              <w:t>Akcinės bendrovės, uždarosios akcinės bendrovės</w:t>
            </w:r>
          </w:p>
        </w:tc>
        <w:tc>
          <w:tcPr>
            <w:tcW w:w="2373"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1980"/>
                <w:tab w:val="left" w:pos="2552"/>
              </w:tabs>
              <w:autoSpaceDE w:val="0"/>
              <w:snapToGrid w:val="0"/>
              <w:jc w:val="center"/>
              <w:rPr>
                <w:sz w:val="20"/>
                <w:szCs w:val="20"/>
              </w:rPr>
            </w:pPr>
            <w:r w:rsidRPr="00CC5112">
              <w:rPr>
                <w:sz w:val="20"/>
                <w:szCs w:val="20"/>
              </w:rPr>
              <w:t>&lt; 20%</w:t>
            </w:r>
          </w:p>
        </w:tc>
        <w:tc>
          <w:tcPr>
            <w:tcW w:w="2667"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1980"/>
                <w:tab w:val="left" w:pos="2552"/>
              </w:tabs>
              <w:autoSpaceDE w:val="0"/>
              <w:snapToGrid w:val="0"/>
              <w:jc w:val="center"/>
              <w:rPr>
                <w:sz w:val="20"/>
                <w:szCs w:val="20"/>
              </w:rPr>
            </w:pPr>
            <w:r w:rsidRPr="00CC5112">
              <w:rPr>
                <w:sz w:val="20"/>
                <w:szCs w:val="20"/>
              </w:rPr>
              <w:t>Tikrąja verte</w:t>
            </w:r>
          </w:p>
          <w:p w:rsidR="00E5791B" w:rsidRPr="00CC5112" w:rsidRDefault="00E5791B" w:rsidP="00D853FE">
            <w:pPr>
              <w:widowControl w:val="0"/>
              <w:shd w:val="clear" w:color="auto" w:fill="FFFFFF"/>
              <w:tabs>
                <w:tab w:val="left" w:pos="1701"/>
                <w:tab w:val="left" w:pos="1980"/>
                <w:tab w:val="left" w:pos="2552"/>
              </w:tabs>
              <w:autoSpaceDE w:val="0"/>
              <w:jc w:val="center"/>
              <w:rPr>
                <w:sz w:val="20"/>
                <w:szCs w:val="20"/>
              </w:rPr>
            </w:pPr>
            <w:r w:rsidRPr="00CC5112">
              <w:rPr>
                <w:sz w:val="20"/>
                <w:szCs w:val="20"/>
              </w:rPr>
              <w:t>(17-asis VSAFAS)</w:t>
            </w:r>
          </w:p>
        </w:tc>
        <w:tc>
          <w:tcPr>
            <w:tcW w:w="2587" w:type="dxa"/>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1980"/>
                <w:tab w:val="left" w:pos="2552"/>
              </w:tabs>
              <w:autoSpaceDE w:val="0"/>
              <w:snapToGrid w:val="0"/>
              <w:jc w:val="center"/>
              <w:rPr>
                <w:sz w:val="20"/>
                <w:szCs w:val="20"/>
              </w:rPr>
            </w:pPr>
            <w:r w:rsidRPr="00CC5112">
              <w:rPr>
                <w:sz w:val="20"/>
                <w:szCs w:val="20"/>
              </w:rPr>
              <w:t>Tikrąja verte</w:t>
            </w:r>
          </w:p>
          <w:p w:rsidR="00E5791B" w:rsidRPr="00CC5112" w:rsidRDefault="00E5791B" w:rsidP="00D853FE">
            <w:pPr>
              <w:widowControl w:val="0"/>
              <w:shd w:val="clear" w:color="auto" w:fill="FFFFFF"/>
              <w:tabs>
                <w:tab w:val="left" w:pos="1701"/>
                <w:tab w:val="left" w:pos="1980"/>
                <w:tab w:val="left" w:pos="2552"/>
              </w:tabs>
              <w:autoSpaceDE w:val="0"/>
              <w:jc w:val="center"/>
              <w:rPr>
                <w:sz w:val="20"/>
                <w:szCs w:val="20"/>
              </w:rPr>
            </w:pPr>
            <w:r w:rsidRPr="00CC5112">
              <w:rPr>
                <w:sz w:val="20"/>
                <w:szCs w:val="20"/>
              </w:rPr>
              <w:t>(17-asis VSAFAS)</w:t>
            </w:r>
          </w:p>
        </w:tc>
      </w:tr>
      <w:tr w:rsidR="00E5791B" w:rsidRPr="00CC5112" w:rsidTr="00D853FE">
        <w:trPr>
          <w:trHeight w:val="197"/>
        </w:trPr>
        <w:tc>
          <w:tcPr>
            <w:tcW w:w="2034" w:type="dxa"/>
            <w:vMerge/>
            <w:tcBorders>
              <w:top w:val="single" w:sz="8" w:space="0" w:color="000000"/>
              <w:left w:val="single" w:sz="8" w:space="0" w:color="000000"/>
              <w:bottom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2552"/>
              </w:tabs>
              <w:autoSpaceDE w:val="0"/>
              <w:snapToGrid w:val="0"/>
              <w:jc w:val="both"/>
              <w:rPr>
                <w:sz w:val="20"/>
                <w:szCs w:val="20"/>
              </w:rPr>
            </w:pPr>
          </w:p>
        </w:tc>
        <w:tc>
          <w:tcPr>
            <w:tcW w:w="2373"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20-50%</w:t>
            </w:r>
          </w:p>
        </w:tc>
        <w:tc>
          <w:tcPr>
            <w:tcW w:w="2667"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tc>
        <w:tc>
          <w:tcPr>
            <w:tcW w:w="2587" w:type="dxa"/>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tc>
      </w:tr>
      <w:tr w:rsidR="00E5791B" w:rsidRPr="00CC5112" w:rsidTr="00D853FE">
        <w:trPr>
          <w:trHeight w:val="235"/>
        </w:trPr>
        <w:tc>
          <w:tcPr>
            <w:tcW w:w="2034" w:type="dxa"/>
            <w:tcBorders>
              <w:top w:val="single" w:sz="8" w:space="0" w:color="000000"/>
              <w:left w:val="single" w:sz="8" w:space="0" w:color="000000"/>
              <w:bottom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2552"/>
              </w:tabs>
              <w:autoSpaceDE w:val="0"/>
              <w:snapToGrid w:val="0"/>
              <w:ind w:firstLine="144"/>
              <w:jc w:val="both"/>
              <w:rPr>
                <w:sz w:val="20"/>
                <w:szCs w:val="20"/>
              </w:rPr>
            </w:pPr>
          </w:p>
        </w:tc>
        <w:tc>
          <w:tcPr>
            <w:tcW w:w="2373"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&gt; 50%</w:t>
            </w:r>
          </w:p>
        </w:tc>
        <w:tc>
          <w:tcPr>
            <w:tcW w:w="2667"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tc>
        <w:tc>
          <w:tcPr>
            <w:tcW w:w="2587" w:type="dxa"/>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tc>
      </w:tr>
      <w:tr w:rsidR="00E5791B" w:rsidRPr="00CC5112" w:rsidTr="00D853FE">
        <w:trPr>
          <w:trHeight w:val="197"/>
        </w:trPr>
        <w:tc>
          <w:tcPr>
            <w:tcW w:w="2034" w:type="dxa"/>
            <w:tcBorders>
              <w:top w:val="single" w:sz="8" w:space="0" w:color="000000"/>
              <w:left w:val="single" w:sz="8" w:space="0" w:color="000000"/>
              <w:bottom w:val="single" w:sz="8" w:space="0" w:color="000000"/>
            </w:tcBorders>
            <w:shd w:val="clear" w:color="auto" w:fill="auto"/>
            <w:vAlign w:val="center"/>
          </w:tcPr>
          <w:p w:rsidR="00E5791B" w:rsidRPr="00CC5112" w:rsidRDefault="00E5791B" w:rsidP="00D853FE">
            <w:pPr>
              <w:widowControl w:val="0"/>
              <w:shd w:val="clear" w:color="auto" w:fill="FFFFFF"/>
              <w:tabs>
                <w:tab w:val="left" w:pos="1701"/>
                <w:tab w:val="left" w:pos="2552"/>
              </w:tabs>
              <w:autoSpaceDE w:val="0"/>
              <w:snapToGrid w:val="0"/>
              <w:ind w:firstLine="144"/>
              <w:jc w:val="both"/>
              <w:rPr>
                <w:sz w:val="20"/>
                <w:szCs w:val="20"/>
              </w:rPr>
            </w:pPr>
            <w:r w:rsidRPr="00CC5112">
              <w:rPr>
                <w:sz w:val="20"/>
                <w:szCs w:val="20"/>
              </w:rPr>
              <w:t>Savivaldybės įmonės</w:t>
            </w:r>
          </w:p>
        </w:tc>
        <w:tc>
          <w:tcPr>
            <w:tcW w:w="2373"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both"/>
              <w:rPr>
                <w:sz w:val="20"/>
                <w:szCs w:val="20"/>
              </w:rPr>
            </w:pPr>
          </w:p>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Kontroliuojama įmonė</w:t>
            </w:r>
          </w:p>
          <w:p w:rsidR="00E5791B" w:rsidRPr="00CC5112" w:rsidRDefault="00E5791B" w:rsidP="00D853FE">
            <w:pPr>
              <w:widowControl w:val="0"/>
              <w:shd w:val="clear" w:color="auto" w:fill="FFFFFF"/>
              <w:tabs>
                <w:tab w:val="left" w:pos="1701"/>
                <w:tab w:val="left" w:pos="2552"/>
              </w:tabs>
              <w:autoSpaceDE w:val="0"/>
              <w:snapToGrid w:val="0"/>
              <w:jc w:val="both"/>
              <w:rPr>
                <w:sz w:val="20"/>
                <w:szCs w:val="20"/>
                <w:shd w:val="clear" w:color="auto" w:fill="FFFF99"/>
              </w:rPr>
            </w:pPr>
          </w:p>
        </w:tc>
        <w:tc>
          <w:tcPr>
            <w:tcW w:w="2667" w:type="dxa"/>
            <w:tcBorders>
              <w:top w:val="single" w:sz="8" w:space="0" w:color="000000"/>
              <w:left w:val="single" w:sz="8" w:space="0" w:color="000000"/>
              <w:bottom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p w:rsidR="00E5791B" w:rsidRPr="00CC5112" w:rsidRDefault="00E5791B" w:rsidP="00D853FE">
            <w:pPr>
              <w:widowControl w:val="0"/>
              <w:shd w:val="clear" w:color="auto" w:fill="FFFFFF"/>
              <w:tabs>
                <w:tab w:val="left" w:pos="1701"/>
                <w:tab w:val="left" w:pos="2552"/>
              </w:tabs>
              <w:autoSpaceDE w:val="0"/>
              <w:snapToGrid w:val="0"/>
              <w:jc w:val="both"/>
              <w:rPr>
                <w:sz w:val="20"/>
                <w:szCs w:val="20"/>
              </w:rPr>
            </w:pPr>
          </w:p>
        </w:tc>
        <w:tc>
          <w:tcPr>
            <w:tcW w:w="2587" w:type="dxa"/>
            <w:tcBorders>
              <w:top w:val="single" w:sz="8" w:space="0" w:color="000000"/>
              <w:left w:val="single" w:sz="8" w:space="0" w:color="000000"/>
              <w:bottom w:val="single" w:sz="8" w:space="0" w:color="000000"/>
              <w:right w:val="single" w:sz="8" w:space="0" w:color="000000"/>
            </w:tcBorders>
            <w:shd w:val="clear" w:color="auto" w:fill="auto"/>
            <w:vAlign w:val="bottom"/>
          </w:tcPr>
          <w:p w:rsidR="00E5791B" w:rsidRPr="00CC5112" w:rsidRDefault="00E5791B" w:rsidP="00D853FE">
            <w:pPr>
              <w:widowControl w:val="0"/>
              <w:shd w:val="clear" w:color="auto" w:fill="FFFFFF"/>
              <w:tabs>
                <w:tab w:val="left" w:pos="1701"/>
                <w:tab w:val="left" w:pos="2552"/>
              </w:tabs>
              <w:autoSpaceDE w:val="0"/>
              <w:snapToGrid w:val="0"/>
              <w:jc w:val="center"/>
              <w:rPr>
                <w:sz w:val="20"/>
                <w:szCs w:val="20"/>
              </w:rPr>
            </w:pPr>
            <w:r w:rsidRPr="00CC5112">
              <w:rPr>
                <w:sz w:val="20"/>
                <w:szCs w:val="20"/>
              </w:rPr>
              <w:t>Nuosavybės metodu</w:t>
            </w:r>
          </w:p>
          <w:p w:rsidR="00E5791B" w:rsidRPr="00CC5112" w:rsidRDefault="00E5791B" w:rsidP="00D853FE">
            <w:pPr>
              <w:widowControl w:val="0"/>
              <w:shd w:val="clear" w:color="auto" w:fill="FFFFFF"/>
              <w:tabs>
                <w:tab w:val="left" w:pos="1701"/>
                <w:tab w:val="left" w:pos="2552"/>
              </w:tabs>
              <w:autoSpaceDE w:val="0"/>
              <w:snapToGrid w:val="0"/>
              <w:jc w:val="both"/>
              <w:rPr>
                <w:sz w:val="20"/>
                <w:szCs w:val="20"/>
              </w:rPr>
            </w:pPr>
          </w:p>
        </w:tc>
      </w:tr>
    </w:tbl>
    <w:p w:rsidR="00ED3C52" w:rsidRPr="00CC5112" w:rsidRDefault="00ED3C52" w:rsidP="00E5791B">
      <w:pPr>
        <w:tabs>
          <w:tab w:val="left" w:pos="1134"/>
        </w:tabs>
        <w:jc w:val="both"/>
        <w:rPr>
          <w:rFonts w:eastAsia="Courier" w:cs="Courier"/>
          <w:b/>
        </w:rPr>
      </w:pPr>
    </w:p>
    <w:p w:rsidR="00E5791B" w:rsidRPr="00CC5112" w:rsidRDefault="00E5791B" w:rsidP="00ED3C52">
      <w:pPr>
        <w:tabs>
          <w:tab w:val="left" w:pos="1134"/>
        </w:tabs>
        <w:ind w:firstLine="1134"/>
        <w:jc w:val="both"/>
        <w:rPr>
          <w:b/>
        </w:rPr>
      </w:pPr>
      <w:r w:rsidRPr="00CC5112">
        <w:rPr>
          <w:b/>
        </w:rPr>
        <w:t>Nuosavybės metodo įtaka</w:t>
      </w:r>
    </w:p>
    <w:p w:rsidR="00E5791B" w:rsidRPr="00CC5112" w:rsidRDefault="00E5791B" w:rsidP="00E5791B">
      <w:pPr>
        <w:tabs>
          <w:tab w:val="left" w:pos="1134"/>
        </w:tabs>
        <w:jc w:val="both"/>
        <w:rPr>
          <w:b/>
        </w:rPr>
      </w:pPr>
    </w:p>
    <w:p w:rsidR="00E5791B" w:rsidRPr="00CC5112" w:rsidRDefault="00E5791B" w:rsidP="00ED3C52">
      <w:pPr>
        <w:tabs>
          <w:tab w:val="left" w:pos="1134"/>
        </w:tabs>
        <w:ind w:firstLine="1134"/>
        <w:jc w:val="both"/>
      </w:pPr>
      <w:r w:rsidRPr="00CC5112">
        <w:t>Nuosavybės metodas – apskaitos metodas, kai investicija iš pradžių apskaitoje registruojama įsigijimo savikaina, o vėliau jos vertė didinama ar mažinama atsižvelgiant į ūkio subjekto, į kurį investuota, investuotojui tenkančios grynojo turto dalies pokyčius po įsigijimo.</w:t>
      </w:r>
    </w:p>
    <w:p w:rsidR="00E5791B" w:rsidRPr="00CC5112" w:rsidRDefault="00E5791B" w:rsidP="00E5791B">
      <w:pPr>
        <w:tabs>
          <w:tab w:val="left" w:pos="1134"/>
        </w:tabs>
        <w:jc w:val="both"/>
      </w:pPr>
    </w:p>
    <w:p w:rsidR="00E5791B" w:rsidRPr="00CC5112" w:rsidRDefault="00E5791B" w:rsidP="00ED3C52">
      <w:pPr>
        <w:tabs>
          <w:tab w:val="left" w:pos="1134"/>
        </w:tabs>
        <w:ind w:firstLine="1134"/>
        <w:jc w:val="both"/>
        <w:rPr>
          <w:b/>
        </w:rPr>
      </w:pPr>
      <w:r w:rsidRPr="00CC5112">
        <w:rPr>
          <w:b/>
        </w:rPr>
        <w:t>Mažumos dalis</w:t>
      </w:r>
    </w:p>
    <w:p w:rsidR="00E5791B" w:rsidRPr="00CC5112" w:rsidRDefault="00E5791B" w:rsidP="00E5791B">
      <w:pPr>
        <w:tabs>
          <w:tab w:val="left" w:pos="1134"/>
        </w:tabs>
        <w:jc w:val="both"/>
      </w:pPr>
    </w:p>
    <w:p w:rsidR="00E5791B" w:rsidRPr="00CC5112" w:rsidRDefault="00E5791B" w:rsidP="00ED3C52">
      <w:pPr>
        <w:ind w:firstLine="1134"/>
        <w:jc w:val="both"/>
      </w:pPr>
      <w:r w:rsidRPr="00CC5112">
        <w:t>Į savivaldybės konsoliduotąsias ataskaitas įtraukta jos kontroliuojamų viešojo sektoriaus subjektų nuosavybės dalis, priklausanti dalininkams, kurie nėra savivaldybės kontroliuojami viešojo sektoriaus subjektai, savivaldybės konsoliduotose finansinėse ataskaitose rodoma kaip mažumos dalis</w:t>
      </w:r>
    </w:p>
    <w:p w:rsidR="00E5791B" w:rsidRPr="00CC5112" w:rsidRDefault="00E5791B" w:rsidP="00ED3C52">
      <w:pPr>
        <w:ind w:firstLine="1134"/>
        <w:jc w:val="both"/>
        <w:rPr>
          <w:b/>
          <w:bCs/>
        </w:rPr>
      </w:pPr>
      <w:r w:rsidRPr="00CC5112">
        <w:rPr>
          <w:b/>
          <w:bCs/>
        </w:rPr>
        <w:t>Gautinos sumos</w:t>
      </w:r>
    </w:p>
    <w:p w:rsidR="00E5791B" w:rsidRPr="00CC5112" w:rsidRDefault="00E5791B" w:rsidP="00ED3C52">
      <w:pPr>
        <w:ind w:firstLine="1134"/>
        <w:jc w:val="both"/>
        <w:rPr>
          <w:bCs/>
        </w:rPr>
      </w:pPr>
    </w:p>
    <w:p w:rsidR="00E5791B" w:rsidRPr="00CC5112" w:rsidRDefault="005725E5" w:rsidP="00ED3C52">
      <w:pPr>
        <w:tabs>
          <w:tab w:val="left" w:pos="1134"/>
          <w:tab w:val="left" w:pos="1701"/>
          <w:tab w:val="left" w:pos="2552"/>
        </w:tabs>
        <w:autoSpaceDE w:val="0"/>
        <w:spacing w:before="25" w:after="25"/>
        <w:jc w:val="both"/>
      </w:pPr>
      <w:r w:rsidRPr="00CC5112">
        <w:tab/>
      </w:r>
      <w:r w:rsidR="00E5791B" w:rsidRPr="00CC5112">
        <w:t>Gautinos sumos pirminio pripažinimo metu yra įvertinamos įsigijimo savikaina.</w:t>
      </w:r>
    </w:p>
    <w:p w:rsidR="00E5791B" w:rsidRPr="00CC5112" w:rsidRDefault="00E5791B" w:rsidP="00ED3C52">
      <w:pPr>
        <w:tabs>
          <w:tab w:val="left" w:pos="1134"/>
          <w:tab w:val="left" w:pos="1701"/>
          <w:tab w:val="left" w:pos="2552"/>
        </w:tabs>
        <w:autoSpaceDE w:val="0"/>
        <w:spacing w:before="25" w:after="25"/>
        <w:ind w:firstLine="1134"/>
        <w:jc w:val="both"/>
      </w:pPr>
      <w:r w:rsidRPr="00CC5112">
        <w:t xml:space="preserve">Finansinėse ataskaitose ilgalaikės gautinos sumos parodomos amortizuota savikaina, atėmus nuvertėjimo nuostolius. </w:t>
      </w:r>
    </w:p>
    <w:p w:rsidR="00E5791B" w:rsidRPr="00CC5112" w:rsidRDefault="00E5791B" w:rsidP="00ED3C52">
      <w:pPr>
        <w:tabs>
          <w:tab w:val="left" w:pos="1134"/>
          <w:tab w:val="left" w:pos="1701"/>
          <w:tab w:val="left" w:pos="2552"/>
        </w:tabs>
        <w:autoSpaceDE w:val="0"/>
        <w:spacing w:before="25" w:after="25"/>
        <w:ind w:firstLine="1134"/>
        <w:jc w:val="both"/>
      </w:pPr>
      <w:r w:rsidRPr="00CC5112">
        <w:t xml:space="preserve">Finansinėse ataskaitose trumpalaikės gautinos sumos parodomos įsigijimo savikaina, atėmus nuvertėjimo nuostolius. </w:t>
      </w:r>
    </w:p>
    <w:p w:rsidR="00E5791B" w:rsidRPr="00CC5112" w:rsidRDefault="00E5791B" w:rsidP="00E5791B">
      <w:pPr>
        <w:ind w:firstLine="1134"/>
        <w:jc w:val="both"/>
      </w:pPr>
    </w:p>
    <w:p w:rsidR="00E5791B" w:rsidRPr="00CC5112" w:rsidRDefault="00E5791B" w:rsidP="00ED3C52">
      <w:pPr>
        <w:ind w:firstLine="1134"/>
        <w:jc w:val="both"/>
        <w:rPr>
          <w:b/>
          <w:bCs/>
        </w:rPr>
      </w:pPr>
      <w:r w:rsidRPr="00CC5112">
        <w:rPr>
          <w:b/>
          <w:bCs/>
        </w:rPr>
        <w:t>Pinigai ir pinigų ekvivalentai</w:t>
      </w:r>
    </w:p>
    <w:p w:rsidR="00E5791B" w:rsidRPr="00CC5112" w:rsidRDefault="00E5791B" w:rsidP="00ED3C52">
      <w:pPr>
        <w:tabs>
          <w:tab w:val="left" w:pos="1701"/>
          <w:tab w:val="left" w:pos="2552"/>
        </w:tabs>
        <w:autoSpaceDE w:val="0"/>
        <w:spacing w:before="25" w:after="25"/>
        <w:ind w:firstLine="1134"/>
        <w:jc w:val="both"/>
      </w:pPr>
    </w:p>
    <w:p w:rsidR="00E5791B" w:rsidRPr="00CC5112" w:rsidRDefault="00E5791B" w:rsidP="00ED3C52">
      <w:pPr>
        <w:tabs>
          <w:tab w:val="left" w:pos="1134"/>
          <w:tab w:val="left" w:pos="1701"/>
          <w:tab w:val="left" w:pos="2552"/>
        </w:tabs>
        <w:autoSpaceDE w:val="0"/>
        <w:spacing w:before="25" w:after="25"/>
        <w:ind w:firstLine="1134"/>
        <w:jc w:val="both"/>
      </w:pPr>
      <w:r w:rsidRPr="00CC5112">
        <w:t>Pinigus sudaro pinigai kasoje ir banko sąskaitose. Pinigų ekvivalentai yra trumpalaikės, likvidžios investicijos, kurios gali būti greitai ir lengvai iškeičiamos į žinomą pinigų sumą. Tokių investicijų terminas neviršija trijų mėnesių, o vertės pokyčių rizika yra labai maža.</w:t>
      </w:r>
    </w:p>
    <w:p w:rsidR="00E5791B" w:rsidRPr="00CC5112" w:rsidRDefault="00E5791B" w:rsidP="00E5791B">
      <w:pPr>
        <w:jc w:val="both"/>
        <w:rPr>
          <w:b/>
          <w:bCs/>
        </w:rPr>
      </w:pPr>
    </w:p>
    <w:p w:rsidR="00E5791B" w:rsidRPr="00CC5112" w:rsidRDefault="00E5791B" w:rsidP="00ED3C52">
      <w:pPr>
        <w:ind w:firstLine="1134"/>
        <w:jc w:val="both"/>
        <w:rPr>
          <w:b/>
          <w:bCs/>
        </w:rPr>
      </w:pPr>
      <w:r w:rsidRPr="00CC5112">
        <w:rPr>
          <w:b/>
          <w:bCs/>
        </w:rPr>
        <w:t>Finansavimo sumos</w:t>
      </w:r>
    </w:p>
    <w:p w:rsidR="00E5791B" w:rsidRPr="00CC5112" w:rsidRDefault="00E5791B" w:rsidP="00ED3C52">
      <w:pPr>
        <w:ind w:firstLine="1134"/>
        <w:jc w:val="both"/>
        <w:rPr>
          <w:bCs/>
        </w:rPr>
      </w:pPr>
    </w:p>
    <w:p w:rsidR="00E5791B" w:rsidRPr="00CC5112" w:rsidRDefault="00E5791B" w:rsidP="00ED3C52">
      <w:pPr>
        <w:tabs>
          <w:tab w:val="left" w:pos="1134"/>
          <w:tab w:val="left" w:pos="1701"/>
          <w:tab w:val="left" w:pos="2552"/>
        </w:tabs>
        <w:autoSpaceDE w:val="0"/>
        <w:spacing w:before="25" w:after="25"/>
        <w:ind w:firstLine="1134"/>
        <w:jc w:val="both"/>
      </w:pPr>
      <w:r w:rsidRPr="00CC5112">
        <w:t>Finansavimo sumų apskaitos metodai ir taisyklės nustatyti 20-ajame viešojo sektoriaus apskaitos ir finansinės atskaitomybės standarte „Finansavimo sumos“.</w:t>
      </w:r>
    </w:p>
    <w:p w:rsidR="00E5791B" w:rsidRPr="00CC5112" w:rsidRDefault="00E5791B" w:rsidP="00ED3C52">
      <w:pPr>
        <w:tabs>
          <w:tab w:val="left" w:pos="1134"/>
          <w:tab w:val="left" w:pos="1701"/>
          <w:tab w:val="left" w:pos="2552"/>
        </w:tabs>
        <w:autoSpaceDE w:val="0"/>
        <w:spacing w:before="25" w:after="25"/>
        <w:ind w:firstLine="1134"/>
        <w:jc w:val="both"/>
      </w:pPr>
      <w:r w:rsidRPr="00CC5112">
        <w:t>Finansavimo sumos pripažįstamos, kai atitinka 20-ajame VSAFAS nustatytus kriterijus.</w:t>
      </w:r>
    </w:p>
    <w:p w:rsidR="00E5791B" w:rsidRPr="00CC5112" w:rsidRDefault="00E5791B" w:rsidP="00ED3C52">
      <w:pPr>
        <w:tabs>
          <w:tab w:val="left" w:pos="1134"/>
          <w:tab w:val="left" w:pos="1701"/>
          <w:tab w:val="left" w:pos="2552"/>
        </w:tabs>
        <w:autoSpaceDE w:val="0"/>
        <w:spacing w:before="25" w:after="25"/>
        <w:ind w:firstLine="1134"/>
        <w:jc w:val="both"/>
      </w:pPr>
      <w:r w:rsidRPr="00CC5112">
        <w:t>Finansavimo sumos – savivaldybės iš valstybės biudžeto, Europos Sąjungos (finansinė parama), užsienio valstybių ir tarptautinių organizacijų bei iš kitų šaltinių gauti arba gautini pinigai arba kitas turtas, skirtas nustatytiems tikslams ir programoms įgyvendinti. Finansavimo sumos apima gautus arba gautinus pinigus, ir kitą turtą pavedimams vykdyti, kitas lėšas išlaidoms kompensuoti ir paramos būdu gautą turtą.</w:t>
      </w:r>
    </w:p>
    <w:p w:rsidR="00E5791B" w:rsidRPr="00CC5112" w:rsidRDefault="00E5791B" w:rsidP="00ED3C52">
      <w:pPr>
        <w:tabs>
          <w:tab w:val="left" w:pos="1134"/>
          <w:tab w:val="left" w:pos="1701"/>
          <w:tab w:val="left" w:pos="2552"/>
        </w:tabs>
        <w:autoSpaceDE w:val="0"/>
        <w:spacing w:before="25" w:after="25"/>
        <w:ind w:firstLine="1134"/>
        <w:jc w:val="both"/>
      </w:pPr>
      <w:r w:rsidRPr="00CC5112">
        <w:t xml:space="preserve">Gautinos finansavimo sumos apskaitoje registruojamos kai užtikrinama, kad tenkinamos visos finansuotojo nustatytos sąlygos finansavimui gauti ir kai yra gauta įrodymų, kad finansavimo sumos bus suteiktos. </w:t>
      </w:r>
    </w:p>
    <w:p w:rsidR="00E5791B" w:rsidRPr="00CC5112" w:rsidRDefault="00E5791B" w:rsidP="00ED3C52">
      <w:pPr>
        <w:tabs>
          <w:tab w:val="left" w:pos="1134"/>
          <w:tab w:val="left" w:pos="1701"/>
          <w:tab w:val="left" w:pos="2552"/>
        </w:tabs>
        <w:autoSpaceDE w:val="0"/>
        <w:spacing w:before="25" w:after="25"/>
        <w:ind w:firstLine="1134"/>
        <w:jc w:val="both"/>
      </w:pPr>
      <w:r w:rsidRPr="00CC5112">
        <w:t>Gautos (gautinos) finansavimo sumos pagal paskirtį skirstomos į:</w:t>
      </w:r>
    </w:p>
    <w:p w:rsidR="00280F38" w:rsidRPr="00CC5112" w:rsidRDefault="00E5791B" w:rsidP="00E5791B">
      <w:pPr>
        <w:pStyle w:val="Sraopastraipa"/>
        <w:numPr>
          <w:ilvl w:val="1"/>
          <w:numId w:val="8"/>
        </w:numPr>
        <w:tabs>
          <w:tab w:val="left" w:pos="1134"/>
          <w:tab w:val="left" w:pos="1418"/>
          <w:tab w:val="left" w:pos="1701"/>
          <w:tab w:val="left" w:pos="2552"/>
        </w:tabs>
        <w:autoSpaceDE w:val="0"/>
        <w:spacing w:before="25" w:after="25"/>
        <w:jc w:val="both"/>
      </w:pPr>
      <w:r w:rsidRPr="00CC5112">
        <w:t>finansavimo sumas nepiniginiam turtui įsigyti;</w:t>
      </w:r>
    </w:p>
    <w:p w:rsidR="00E5791B" w:rsidRPr="00CC5112" w:rsidRDefault="00E5791B" w:rsidP="00E5791B">
      <w:pPr>
        <w:pStyle w:val="Sraopastraipa"/>
        <w:numPr>
          <w:ilvl w:val="1"/>
          <w:numId w:val="8"/>
        </w:numPr>
        <w:tabs>
          <w:tab w:val="left" w:pos="1134"/>
          <w:tab w:val="left" w:pos="1418"/>
          <w:tab w:val="left" w:pos="1701"/>
          <w:tab w:val="left" w:pos="2552"/>
        </w:tabs>
        <w:autoSpaceDE w:val="0"/>
        <w:spacing w:before="25" w:after="25"/>
        <w:jc w:val="both"/>
      </w:pPr>
      <w:r w:rsidRPr="00CC5112">
        <w:t>finansavimo sumas kitoms išlaidoms kompensuoti.</w:t>
      </w:r>
    </w:p>
    <w:p w:rsidR="00E5791B" w:rsidRPr="00CC5112" w:rsidRDefault="00E5791B" w:rsidP="00ED3C52">
      <w:pPr>
        <w:tabs>
          <w:tab w:val="left" w:pos="1134"/>
          <w:tab w:val="left" w:pos="1701"/>
          <w:tab w:val="left" w:pos="2552"/>
        </w:tabs>
        <w:autoSpaceDE w:val="0"/>
        <w:spacing w:before="25" w:after="25"/>
        <w:ind w:firstLine="1134"/>
        <w:jc w:val="both"/>
      </w:pPr>
      <w:r w:rsidRPr="00CC5112">
        <w:t>Finansavimo sumos nepiniginiam turtui yra gaunamos kaip nemokamai gautas ilgalaikis turtas arba atsargos, įskaitant paramą, arba kaip pinigai, skirti įsigyti ilgalaikį arba trumpalaikį nepiniginį turtą.</w:t>
      </w:r>
    </w:p>
    <w:p w:rsidR="00E5791B" w:rsidRPr="00CC5112" w:rsidRDefault="00E5791B" w:rsidP="00ED3C52">
      <w:pPr>
        <w:tabs>
          <w:tab w:val="left" w:pos="1134"/>
          <w:tab w:val="left" w:pos="1701"/>
          <w:tab w:val="left" w:pos="2552"/>
        </w:tabs>
        <w:autoSpaceDE w:val="0"/>
        <w:spacing w:before="25" w:after="25"/>
        <w:ind w:firstLine="1134"/>
        <w:jc w:val="both"/>
      </w:pPr>
      <w:r w:rsidRPr="00CC5112">
        <w:t>Finansavimo sumos kitoms išlaidoms yra skirtos ataskaitinio laikotarpio išlaidoms kompensuoti. Finansavimo sumomis, skirtomis kitoms išlaidoms kompensuoti, yra laikomos visos likusios finansavimo sumos, nepriskiriamos nepiniginiam turtui įsigyti.</w:t>
      </w:r>
    </w:p>
    <w:p w:rsidR="00E5791B" w:rsidRPr="00CC5112" w:rsidRDefault="00E5791B" w:rsidP="00ED3C52">
      <w:pPr>
        <w:tabs>
          <w:tab w:val="left" w:pos="1134"/>
          <w:tab w:val="left" w:pos="1701"/>
          <w:tab w:val="left" w:pos="2552"/>
        </w:tabs>
        <w:autoSpaceDE w:val="0"/>
        <w:spacing w:before="25" w:after="25"/>
        <w:ind w:firstLine="1134"/>
        <w:jc w:val="both"/>
      </w:pPr>
      <w:r w:rsidRPr="00CC5112">
        <w:t>Gautos (gautinos) ir panaudotos finansavimo sumos arba jų dalis pripažįstamos finansavimo pajamomis tais laikotarpiais, kuriais patiriamos su finansavimo sumomis susijusios sąnaudos.</w:t>
      </w:r>
    </w:p>
    <w:p w:rsidR="00E5791B" w:rsidRPr="00CC5112" w:rsidRDefault="00E5791B" w:rsidP="00ED3C52">
      <w:pPr>
        <w:tabs>
          <w:tab w:val="left" w:pos="1134"/>
          <w:tab w:val="left" w:pos="1701"/>
          <w:tab w:val="left" w:pos="2552"/>
        </w:tabs>
        <w:autoSpaceDE w:val="0"/>
        <w:spacing w:before="25" w:after="25"/>
        <w:ind w:firstLine="1134"/>
        <w:jc w:val="both"/>
      </w:pPr>
      <w:r w:rsidRPr="00CC5112">
        <w:t>Gautos ir perduotos kitiems viešojo sektoriaus subjektams finansavimo sumos, apskaitoje sąnaudomis nepripažįstamos. Perdavus finansavimo sumas kitiems viešojo sektoriaus subjektams, mažinamos gautos finansavimo sumos, registruojant perduotas finansavimo sumas.</w:t>
      </w:r>
    </w:p>
    <w:p w:rsidR="00E5791B" w:rsidRPr="00CC5112" w:rsidRDefault="00E5791B" w:rsidP="00ED3C52">
      <w:pPr>
        <w:tabs>
          <w:tab w:val="left" w:pos="1134"/>
          <w:tab w:val="left" w:pos="1701"/>
          <w:tab w:val="left" w:pos="2552"/>
        </w:tabs>
        <w:autoSpaceDE w:val="0"/>
        <w:spacing w:before="25" w:after="25"/>
        <w:ind w:firstLine="1134"/>
        <w:jc w:val="both"/>
      </w:pPr>
      <w:r w:rsidRPr="00CC5112">
        <w:t>Gautos ir perduotos ne viešojo sektoriaus subjektams finansavimo sumos, registruojamos kaip sąnaudos, kartu pripažįstant finansavimo, kuris buvo skirtas šiam tikslui, pajamas.</w:t>
      </w:r>
    </w:p>
    <w:p w:rsidR="00E5791B" w:rsidRPr="00CC5112" w:rsidRDefault="00E5791B" w:rsidP="00ED3C52">
      <w:pPr>
        <w:tabs>
          <w:tab w:val="left" w:pos="1134"/>
          <w:tab w:val="left" w:pos="1701"/>
          <w:tab w:val="left" w:pos="2552"/>
        </w:tabs>
        <w:autoSpaceDE w:val="0"/>
        <w:spacing w:before="25" w:after="25"/>
        <w:ind w:firstLine="1134"/>
        <w:jc w:val="both"/>
      </w:pPr>
      <w:r w:rsidRPr="00CC5112">
        <w:t>Kai iš savo uždirbtų pajamų finansuojamas kitas viešojo sektoriaus subjektas arba ne viešojo sektoriaus subjektas, apskaitoje užregistruojamos finansavimo sąnaudas.</w:t>
      </w:r>
    </w:p>
    <w:p w:rsidR="00E5791B" w:rsidRPr="00CC5112" w:rsidRDefault="00E5791B" w:rsidP="00E5791B">
      <w:pPr>
        <w:autoSpaceDE w:val="0"/>
        <w:ind w:firstLine="1134"/>
        <w:jc w:val="both"/>
        <w:rPr>
          <w:rFonts w:eastAsia="Courier" w:cs="Courier"/>
        </w:rPr>
      </w:pPr>
    </w:p>
    <w:p w:rsidR="005725E5" w:rsidRPr="00CC5112" w:rsidRDefault="005725E5" w:rsidP="00E5791B">
      <w:pPr>
        <w:autoSpaceDE w:val="0"/>
        <w:ind w:firstLine="1134"/>
        <w:jc w:val="both"/>
        <w:rPr>
          <w:rFonts w:eastAsia="Courier" w:cs="Courier"/>
        </w:rPr>
      </w:pPr>
    </w:p>
    <w:p w:rsidR="00ED3C52" w:rsidRPr="00CC5112" w:rsidRDefault="00ED3C52" w:rsidP="00E5791B">
      <w:pPr>
        <w:autoSpaceDE w:val="0"/>
        <w:ind w:firstLine="1134"/>
        <w:jc w:val="both"/>
        <w:rPr>
          <w:rFonts w:eastAsia="Courier" w:cs="Courier"/>
        </w:rPr>
      </w:pPr>
    </w:p>
    <w:p w:rsidR="00E5791B" w:rsidRPr="00CC5112" w:rsidRDefault="00E5791B" w:rsidP="00ED3C52">
      <w:pPr>
        <w:ind w:firstLine="1134"/>
        <w:jc w:val="both"/>
        <w:rPr>
          <w:rFonts w:eastAsia="Courier" w:cs="Courier"/>
          <w:b/>
        </w:rPr>
      </w:pPr>
      <w:r w:rsidRPr="00CC5112">
        <w:rPr>
          <w:rFonts w:eastAsia="Courier" w:cs="Courier"/>
          <w:b/>
        </w:rPr>
        <w:t>Finansiniai įsipareigojimai</w:t>
      </w:r>
    </w:p>
    <w:p w:rsidR="00E5791B" w:rsidRPr="00CC5112" w:rsidRDefault="00E5791B" w:rsidP="00ED3C52">
      <w:pPr>
        <w:ind w:firstLine="1134"/>
        <w:jc w:val="both"/>
        <w:rPr>
          <w:rFonts w:eastAsia="Courier" w:cs="Courier"/>
        </w:rPr>
      </w:pPr>
    </w:p>
    <w:p w:rsidR="00E5791B" w:rsidRPr="00CC5112" w:rsidRDefault="00E5791B" w:rsidP="00ED3C52">
      <w:pPr>
        <w:tabs>
          <w:tab w:val="left" w:pos="1134"/>
          <w:tab w:val="left" w:pos="1701"/>
          <w:tab w:val="left" w:pos="2552"/>
        </w:tabs>
        <w:autoSpaceDE w:val="0"/>
        <w:spacing w:before="25" w:after="25"/>
        <w:ind w:firstLine="1134"/>
        <w:jc w:val="both"/>
      </w:pPr>
      <w:r w:rsidRPr="00CC5112">
        <w:t>Finansinių įsipareigojimų apskaitos principai, metodai ir taisyklės nustatyti vadovaujantis 17-ajame VSAFAS, 18-ajame viešojo sektoriaus apskaitos ir finansinės atskaitomybės standarte „Atidėjiniai, neapibrėžtieji įsipareigojimai, neapibrėžtasis turtas ir poataskaitiniai įvykiai“, 19-ajame viešojo sektoriaus apskaitos ir finansinės atskaitomybės standarte „Nuoma, finansinė nuoma (lizingas) ir kitos turto perdavimo sutartys“ ir 24-ajame viešojo sektoriaus apskaitos ir finansinės atskaitomybės standarte „Su darbo santykiais susijusios išmokos“  nustatyta tvarka.</w:t>
      </w:r>
    </w:p>
    <w:p w:rsidR="00E5791B" w:rsidRPr="00CC5112" w:rsidRDefault="00E5791B" w:rsidP="00ED3C52">
      <w:pPr>
        <w:tabs>
          <w:tab w:val="left" w:pos="1134"/>
          <w:tab w:val="left" w:pos="1701"/>
          <w:tab w:val="left" w:pos="2552"/>
        </w:tabs>
        <w:autoSpaceDE w:val="0"/>
        <w:spacing w:before="25" w:after="25"/>
        <w:ind w:firstLine="1134"/>
        <w:jc w:val="both"/>
      </w:pPr>
      <w:r w:rsidRPr="00CC5112">
        <w:t xml:space="preserve">Įsipareigojimai skirstomi į ilgalaikius ir trumpalaikius. </w:t>
      </w:r>
    </w:p>
    <w:p w:rsidR="00E5791B" w:rsidRPr="00CC5112" w:rsidRDefault="00E5791B" w:rsidP="00ED3C52">
      <w:pPr>
        <w:tabs>
          <w:tab w:val="left" w:pos="1134"/>
          <w:tab w:val="left" w:pos="1701"/>
          <w:tab w:val="left" w:pos="2552"/>
        </w:tabs>
        <w:autoSpaceDE w:val="0"/>
        <w:spacing w:before="25" w:after="25"/>
        <w:ind w:firstLine="1134"/>
        <w:jc w:val="both"/>
      </w:pPr>
      <w:r w:rsidRPr="00CC5112">
        <w:t xml:space="preserve">Ilgalaikiams finansiniams įsipareigojimams priskiriama: </w:t>
      </w:r>
    </w:p>
    <w:p w:rsidR="00E5791B" w:rsidRPr="00CC5112" w:rsidRDefault="00E5791B" w:rsidP="00ED3C52">
      <w:pPr>
        <w:numPr>
          <w:ilvl w:val="1"/>
          <w:numId w:val="10"/>
        </w:numPr>
        <w:tabs>
          <w:tab w:val="left" w:pos="1134"/>
          <w:tab w:val="left" w:pos="1418"/>
          <w:tab w:val="left" w:pos="2552"/>
        </w:tabs>
        <w:autoSpaceDE w:val="0"/>
        <w:spacing w:before="25" w:after="25"/>
        <w:ind w:left="0" w:firstLine="1134"/>
        <w:jc w:val="both"/>
      </w:pPr>
      <w:r w:rsidRPr="00CC5112">
        <w:t xml:space="preserve">ilgalaikiai atidėjiniai; </w:t>
      </w:r>
    </w:p>
    <w:p w:rsidR="00E5791B" w:rsidRPr="00CC5112" w:rsidRDefault="00E5791B" w:rsidP="00ED3C52">
      <w:pPr>
        <w:numPr>
          <w:ilvl w:val="1"/>
          <w:numId w:val="10"/>
        </w:numPr>
        <w:tabs>
          <w:tab w:val="left" w:pos="1134"/>
          <w:tab w:val="left" w:pos="1418"/>
          <w:tab w:val="left" w:pos="2552"/>
        </w:tabs>
        <w:autoSpaceDE w:val="0"/>
        <w:spacing w:before="25" w:after="25"/>
        <w:ind w:left="0" w:firstLine="1134"/>
        <w:jc w:val="both"/>
      </w:pPr>
      <w:r w:rsidRPr="00CC5112">
        <w:t xml:space="preserve">ilgalaikiai finansinės nuomos (lizingo) įsipareigojimai; </w:t>
      </w:r>
    </w:p>
    <w:p w:rsidR="00E5791B" w:rsidRPr="00CC5112" w:rsidRDefault="00E5791B" w:rsidP="00ED3C52">
      <w:pPr>
        <w:numPr>
          <w:ilvl w:val="1"/>
          <w:numId w:val="10"/>
        </w:numPr>
        <w:tabs>
          <w:tab w:val="left" w:pos="1134"/>
          <w:tab w:val="left" w:pos="1418"/>
          <w:tab w:val="left" w:pos="2552"/>
        </w:tabs>
        <w:autoSpaceDE w:val="0"/>
        <w:spacing w:before="25" w:after="25"/>
        <w:ind w:left="0" w:firstLine="1134"/>
        <w:jc w:val="both"/>
      </w:pPr>
      <w:r w:rsidRPr="00CC5112">
        <w:t>kiti ilgalaikiai įsipareigojimai.</w:t>
      </w:r>
    </w:p>
    <w:p w:rsidR="00E5791B" w:rsidRPr="00CC5112" w:rsidRDefault="00E5791B" w:rsidP="00ED3C52">
      <w:pPr>
        <w:tabs>
          <w:tab w:val="left" w:pos="1134"/>
          <w:tab w:val="left" w:pos="1701"/>
          <w:tab w:val="left" w:pos="2552"/>
        </w:tabs>
        <w:autoSpaceDE w:val="0"/>
        <w:spacing w:before="25" w:after="25"/>
        <w:ind w:firstLine="1134"/>
        <w:jc w:val="both"/>
      </w:pPr>
      <w:r w:rsidRPr="00CC5112">
        <w:t xml:space="preserve">Trumpalaikiams finansiniams įsipareigojimams priskiriama: </w:t>
      </w:r>
    </w:p>
    <w:p w:rsidR="00E5791B" w:rsidRPr="00CC5112" w:rsidRDefault="00E5791B" w:rsidP="00ED3C52">
      <w:pPr>
        <w:pStyle w:val="Sraopastraipa"/>
        <w:numPr>
          <w:ilvl w:val="0"/>
          <w:numId w:val="8"/>
        </w:numPr>
        <w:tabs>
          <w:tab w:val="left" w:pos="1134"/>
          <w:tab w:val="left" w:pos="1418"/>
          <w:tab w:val="left" w:pos="2552"/>
        </w:tabs>
        <w:autoSpaceDE w:val="0"/>
        <w:spacing w:before="25" w:after="25"/>
        <w:ind w:left="0" w:firstLine="1134"/>
        <w:jc w:val="both"/>
      </w:pPr>
      <w:r w:rsidRPr="00CC5112">
        <w:t xml:space="preserve">trumpalaikiai atidėjiniai; </w:t>
      </w:r>
    </w:p>
    <w:p w:rsidR="00E5791B" w:rsidRPr="00CC5112" w:rsidRDefault="00E5791B" w:rsidP="00ED3C52">
      <w:pPr>
        <w:pStyle w:val="Sraopastraipa"/>
        <w:numPr>
          <w:ilvl w:val="0"/>
          <w:numId w:val="8"/>
        </w:numPr>
        <w:tabs>
          <w:tab w:val="left" w:pos="1134"/>
          <w:tab w:val="left" w:pos="1418"/>
          <w:tab w:val="left" w:pos="2552"/>
        </w:tabs>
        <w:autoSpaceDE w:val="0"/>
        <w:spacing w:before="25" w:after="25"/>
        <w:ind w:left="0" w:firstLine="1134"/>
        <w:jc w:val="both"/>
      </w:pPr>
      <w:r w:rsidRPr="00CC5112">
        <w:t xml:space="preserve">ilgalaikių įsipareigojimų einamųjų metų dalis; </w:t>
      </w:r>
    </w:p>
    <w:p w:rsidR="00E5791B" w:rsidRPr="00CC5112" w:rsidRDefault="00E5791B" w:rsidP="00ED3C52">
      <w:pPr>
        <w:pStyle w:val="Sraopastraipa"/>
        <w:numPr>
          <w:ilvl w:val="0"/>
          <w:numId w:val="8"/>
        </w:numPr>
        <w:tabs>
          <w:tab w:val="left" w:pos="1134"/>
          <w:tab w:val="left" w:pos="1418"/>
          <w:tab w:val="left" w:pos="2552"/>
        </w:tabs>
        <w:autoSpaceDE w:val="0"/>
        <w:spacing w:before="25" w:after="25"/>
        <w:ind w:left="0" w:firstLine="1134"/>
        <w:jc w:val="both"/>
      </w:pPr>
      <w:r w:rsidRPr="00CC5112">
        <w:t xml:space="preserve">trumpalaikiai finansiniai įsipareigojimai; </w:t>
      </w:r>
    </w:p>
    <w:p w:rsidR="00E5791B" w:rsidRPr="00CC5112" w:rsidRDefault="00E5791B" w:rsidP="00ED3C52">
      <w:pPr>
        <w:pStyle w:val="Sraopastraipa"/>
        <w:numPr>
          <w:ilvl w:val="0"/>
          <w:numId w:val="8"/>
        </w:numPr>
        <w:tabs>
          <w:tab w:val="left" w:pos="1134"/>
          <w:tab w:val="left" w:pos="1418"/>
          <w:tab w:val="left" w:pos="2552"/>
        </w:tabs>
        <w:autoSpaceDE w:val="0"/>
        <w:spacing w:before="25" w:after="25"/>
        <w:ind w:left="0" w:firstLine="1134"/>
        <w:jc w:val="both"/>
      </w:pPr>
      <w:r w:rsidRPr="00CC5112">
        <w:t xml:space="preserve">mokėtinos dotacijos ir finansavimo sumos; </w:t>
      </w:r>
    </w:p>
    <w:p w:rsidR="00E5791B" w:rsidRPr="00CC5112" w:rsidRDefault="00E5791B" w:rsidP="00ED3C52">
      <w:pPr>
        <w:pStyle w:val="Sraopastraipa"/>
        <w:numPr>
          <w:ilvl w:val="0"/>
          <w:numId w:val="8"/>
        </w:numPr>
        <w:tabs>
          <w:tab w:val="left" w:pos="1134"/>
          <w:tab w:val="left" w:pos="1418"/>
          <w:tab w:val="left" w:pos="2552"/>
        </w:tabs>
        <w:autoSpaceDE w:val="0"/>
        <w:spacing w:before="25" w:after="25"/>
        <w:ind w:left="0" w:firstLine="1134"/>
        <w:jc w:val="both"/>
      </w:pPr>
      <w:r w:rsidRPr="00CC5112">
        <w:t xml:space="preserve">mokėtinos sumos į biudžetus, fondus; </w:t>
      </w:r>
    </w:p>
    <w:p w:rsidR="00E5791B" w:rsidRPr="00CC5112" w:rsidRDefault="00E5791B" w:rsidP="00ED3C52">
      <w:pPr>
        <w:pStyle w:val="Sraopastraipa"/>
        <w:numPr>
          <w:ilvl w:val="0"/>
          <w:numId w:val="8"/>
        </w:numPr>
        <w:tabs>
          <w:tab w:val="left" w:pos="1134"/>
          <w:tab w:val="left" w:pos="1418"/>
          <w:tab w:val="left" w:pos="2552"/>
        </w:tabs>
        <w:autoSpaceDE w:val="0"/>
        <w:spacing w:before="25" w:after="25"/>
        <w:ind w:left="0" w:firstLine="1134"/>
        <w:jc w:val="both"/>
      </w:pPr>
      <w:r w:rsidRPr="00CC5112">
        <w:t>mokėtinos sumos, susijusios su vykdoma veikla;</w:t>
      </w:r>
    </w:p>
    <w:p w:rsidR="00E5791B" w:rsidRPr="00CC5112" w:rsidRDefault="00E5791B" w:rsidP="00ED3C52">
      <w:pPr>
        <w:pStyle w:val="Sraopastraipa"/>
        <w:numPr>
          <w:ilvl w:val="0"/>
          <w:numId w:val="8"/>
        </w:numPr>
        <w:tabs>
          <w:tab w:val="left" w:pos="1134"/>
          <w:tab w:val="left" w:pos="1418"/>
          <w:tab w:val="left" w:pos="2552"/>
        </w:tabs>
        <w:autoSpaceDE w:val="0"/>
        <w:spacing w:before="25" w:after="25"/>
        <w:ind w:left="0" w:firstLine="1134"/>
        <w:jc w:val="both"/>
      </w:pPr>
      <w:r w:rsidRPr="00CC5112">
        <w:t xml:space="preserve"> kiti trumpalaikiai finansiniai įsipareigojimai.</w:t>
      </w:r>
    </w:p>
    <w:p w:rsidR="00ED3C52" w:rsidRPr="00CC5112" w:rsidRDefault="00E5791B" w:rsidP="00ED3C52">
      <w:pPr>
        <w:tabs>
          <w:tab w:val="left" w:pos="1134"/>
          <w:tab w:val="left" w:pos="1701"/>
          <w:tab w:val="left" w:pos="2552"/>
        </w:tabs>
        <w:autoSpaceDE w:val="0"/>
        <w:spacing w:before="25" w:after="25"/>
        <w:ind w:firstLine="1134"/>
        <w:jc w:val="both"/>
      </w:pPr>
      <w:r w:rsidRPr="00CC5112">
        <w:t>Pirminio pripažinimo metu finansiniai įsipareigojimai įvertinami ir registruojami įsigijimo savikaina. Vėliau šie įsipareigojimai įvertinami:</w:t>
      </w:r>
    </w:p>
    <w:p w:rsidR="00E5791B" w:rsidRPr="00CC5112" w:rsidRDefault="00E5791B" w:rsidP="00ED3C52">
      <w:pPr>
        <w:tabs>
          <w:tab w:val="left" w:pos="1134"/>
          <w:tab w:val="left" w:pos="1701"/>
          <w:tab w:val="left" w:pos="2552"/>
        </w:tabs>
        <w:autoSpaceDE w:val="0"/>
        <w:spacing w:before="25" w:after="25"/>
        <w:ind w:firstLine="1134"/>
        <w:jc w:val="both"/>
      </w:pPr>
      <w:r w:rsidRPr="00CC5112">
        <w:t xml:space="preserve">1) ilgalaikiai finansiniai įsipareigojimai – amortizuota savikaina; </w:t>
      </w:r>
    </w:p>
    <w:p w:rsidR="00E5791B" w:rsidRPr="00CC5112" w:rsidRDefault="00E5791B" w:rsidP="00ED3C52">
      <w:pPr>
        <w:tabs>
          <w:tab w:val="left" w:pos="1134"/>
          <w:tab w:val="left" w:pos="1418"/>
          <w:tab w:val="left" w:pos="1701"/>
          <w:tab w:val="left" w:pos="2552"/>
        </w:tabs>
        <w:autoSpaceDE w:val="0"/>
        <w:spacing w:before="25" w:after="25"/>
        <w:ind w:firstLine="1134"/>
        <w:jc w:val="both"/>
      </w:pPr>
      <w:r w:rsidRPr="00CC5112">
        <w:t xml:space="preserve">2) trumpalaikiai finansiniai įsipareigojimai – įsigijimo savikaina, išskyrus atvejus, kai 17 VSAFAS numato išimtis dėl amortizuotos savikainos skaičiavimo arba amortizuotos savikainos pokytis yra nereikšmingas, t.y. kai pokytis nesudaro 10 proc. įsigijimo savikainos vertės. </w:t>
      </w:r>
    </w:p>
    <w:p w:rsidR="00E5791B" w:rsidRPr="00CC5112" w:rsidRDefault="00E5791B" w:rsidP="00E5791B">
      <w:pPr>
        <w:jc w:val="both"/>
      </w:pPr>
    </w:p>
    <w:p w:rsidR="00E5791B" w:rsidRPr="00CC5112" w:rsidRDefault="00E5791B" w:rsidP="00ED3C52">
      <w:pPr>
        <w:ind w:firstLine="1134"/>
        <w:jc w:val="both"/>
        <w:rPr>
          <w:b/>
          <w:bCs/>
        </w:rPr>
      </w:pPr>
      <w:r w:rsidRPr="00CC5112">
        <w:rPr>
          <w:b/>
          <w:bCs/>
        </w:rPr>
        <w:t>Atidėjiniai</w:t>
      </w:r>
    </w:p>
    <w:p w:rsidR="00E5791B" w:rsidRPr="00CC5112" w:rsidRDefault="00E5791B" w:rsidP="00ED3C52">
      <w:pPr>
        <w:ind w:firstLine="1134"/>
        <w:jc w:val="both"/>
        <w:rPr>
          <w:b/>
          <w:bCs/>
        </w:rPr>
      </w:pPr>
    </w:p>
    <w:p w:rsidR="00E5791B" w:rsidRPr="00CC5112" w:rsidRDefault="00E5791B" w:rsidP="00ED3C52">
      <w:pPr>
        <w:ind w:firstLine="1134"/>
        <w:jc w:val="both"/>
      </w:pPr>
      <w:r w:rsidRPr="00CC5112">
        <w:t>Atidėjiniu laikomas įsipareigojimas, kurio galutinės įvykdymo sumos arba įvykdymo laiko negalima tiksliai nustatyti, tačiau galima patikimai įvertinti.</w:t>
      </w:r>
    </w:p>
    <w:p w:rsidR="00E5791B" w:rsidRPr="00CC5112" w:rsidRDefault="00E5791B" w:rsidP="00ED3C52">
      <w:pPr>
        <w:ind w:firstLine="1134"/>
        <w:jc w:val="both"/>
      </w:pPr>
      <w:r w:rsidRPr="00CC5112">
        <w:t>Atidėjiniai pripažįstami ir registruojami apskaitoje tada ir tik tada, kai dėl įvykio praeityje turima dabartinę teisinę prievolę ar neatšaukiamas pasižadėjimas, ir tikėtina, kad jam įvykdyti bus reikalingi ištekliai, o įsipareigojimo suma gali būti patikimai įvertinta. Jei patenkinamos ne visos šios sąlygos, atidėjiniai nėra pripažįstami, o tiktai informacija apie susijusį su tikėtina sumokėti suma neapibrėžtąjį įsipareigojimą yra pateikiama finansinių ataskaitų aiškinamajame rašte.</w:t>
      </w:r>
    </w:p>
    <w:p w:rsidR="00E5791B" w:rsidRPr="00CC5112" w:rsidRDefault="00E5791B" w:rsidP="00ED3C52">
      <w:pPr>
        <w:ind w:firstLine="1134"/>
        <w:jc w:val="both"/>
      </w:pPr>
      <w:r w:rsidRPr="00CC5112">
        <w:t>Atidėjiniai yra peržiūrimi paskutinę kiekvieno ataskaitinio laikotarpio dieną ir koreguojami, atsižvelgiant į naujus įvykius ar aplinkybes, kad parodytų tiksliausią dabartinį įvertinimą.</w:t>
      </w:r>
    </w:p>
    <w:p w:rsidR="00E5791B" w:rsidRPr="00CC5112" w:rsidRDefault="00E5791B" w:rsidP="00ED3C52">
      <w:pPr>
        <w:ind w:firstLine="1134"/>
        <w:jc w:val="both"/>
        <w:rPr>
          <w:b/>
          <w:bCs/>
        </w:rPr>
      </w:pPr>
    </w:p>
    <w:p w:rsidR="00E5791B" w:rsidRPr="00CC5112" w:rsidRDefault="00E5791B" w:rsidP="00ED3C52">
      <w:pPr>
        <w:ind w:firstLine="1134"/>
        <w:jc w:val="both"/>
        <w:rPr>
          <w:b/>
          <w:bCs/>
        </w:rPr>
      </w:pPr>
      <w:r w:rsidRPr="00CC5112">
        <w:rPr>
          <w:b/>
          <w:bCs/>
        </w:rPr>
        <w:t>Nuoma</w:t>
      </w:r>
    </w:p>
    <w:p w:rsidR="00E5791B" w:rsidRPr="00CC5112" w:rsidRDefault="00E5791B" w:rsidP="00ED3C52">
      <w:pPr>
        <w:ind w:firstLine="1134"/>
        <w:jc w:val="both"/>
        <w:rPr>
          <w:b/>
          <w:bCs/>
        </w:rPr>
      </w:pPr>
    </w:p>
    <w:p w:rsidR="00E5791B" w:rsidRPr="00CC5112" w:rsidRDefault="00E5791B" w:rsidP="00ED3C52">
      <w:pPr>
        <w:tabs>
          <w:tab w:val="left" w:pos="1134"/>
          <w:tab w:val="left" w:pos="1701"/>
          <w:tab w:val="left" w:pos="2552"/>
        </w:tabs>
        <w:autoSpaceDE w:val="0"/>
        <w:spacing w:before="25" w:after="25"/>
        <w:ind w:firstLine="1134"/>
        <w:jc w:val="both"/>
      </w:pPr>
      <w:r w:rsidRPr="00CC5112">
        <w:t>Registruojant apskaitoje nuomos sutartims taikomas turinio viršenybės prieš formą principas. Ar nuoma bus laikoma veiklos nuoma, ar finansine nuoma, priklauso ne nuo sutarties formos, o nuo jos turinio ir ekonominės prasmės.</w:t>
      </w:r>
    </w:p>
    <w:p w:rsidR="00E5791B" w:rsidRPr="00CC5112" w:rsidRDefault="00E5791B" w:rsidP="00ED3C52">
      <w:pPr>
        <w:tabs>
          <w:tab w:val="left" w:pos="1134"/>
          <w:tab w:val="left" w:pos="1701"/>
          <w:tab w:val="left" w:pos="2552"/>
        </w:tabs>
        <w:autoSpaceDE w:val="0"/>
        <w:spacing w:before="25" w:after="25"/>
        <w:ind w:firstLine="1134"/>
        <w:jc w:val="both"/>
      </w:pPr>
      <w:r w:rsidRPr="00CC5112">
        <w:t xml:space="preserve">Nuomos sandoriai grupuojami į veiklos nuomos ar finansinės nuomos (lizingo) sandorius, atsižvelgiant į tai, kiek turto nuosavybės teikiamos naudos ir rizikos tenka nuomotojui ir kiek nuomininkui. </w:t>
      </w:r>
    </w:p>
    <w:p w:rsidR="00E5791B" w:rsidRPr="00CC5112" w:rsidRDefault="00E5791B" w:rsidP="00ED3C52">
      <w:pPr>
        <w:tabs>
          <w:tab w:val="left" w:pos="1134"/>
          <w:tab w:val="left" w:pos="1701"/>
          <w:tab w:val="left" w:pos="2552"/>
        </w:tabs>
        <w:autoSpaceDE w:val="0"/>
        <w:spacing w:before="25" w:after="25"/>
        <w:ind w:firstLine="1134"/>
        <w:jc w:val="both"/>
      </w:pPr>
      <w:r w:rsidRPr="00CC5112">
        <w:t>Nuoma yra laikoma finansine nuoma, jei iš esmės visa su turto nuosavybe susijusi nauda ir didžioji dalis rizikos perduodama nuomininkui. Nuoma apskaitoje laikoma finansine nuoma, jeigu sutartyje yra nustatyta (arba sutarties sąlygos apsprendžia) bent viena iš šių sąlygų:</w:t>
      </w:r>
    </w:p>
    <w:p w:rsidR="00E5791B" w:rsidRPr="00CC5112" w:rsidRDefault="00E5791B" w:rsidP="00ED3C52">
      <w:pPr>
        <w:pStyle w:val="Sraopastraipa"/>
        <w:numPr>
          <w:ilvl w:val="0"/>
          <w:numId w:val="12"/>
        </w:numPr>
        <w:tabs>
          <w:tab w:val="left" w:pos="1418"/>
          <w:tab w:val="left" w:pos="1701"/>
          <w:tab w:val="left" w:pos="2552"/>
        </w:tabs>
        <w:autoSpaceDE w:val="0"/>
        <w:spacing w:before="25" w:after="25"/>
        <w:ind w:left="0" w:firstLine="1134"/>
        <w:jc w:val="both"/>
      </w:pPr>
      <w:r w:rsidRPr="00CC5112">
        <w:t xml:space="preserve">nuomos laikotarpio pabaigoje nuomotojas perduoda nuomininkui turto nuosavybės teisę; </w:t>
      </w:r>
    </w:p>
    <w:p w:rsidR="00E5791B" w:rsidRPr="00CC5112" w:rsidRDefault="00E5791B" w:rsidP="00ED3C52">
      <w:pPr>
        <w:pStyle w:val="Sraopastraipa"/>
        <w:numPr>
          <w:ilvl w:val="0"/>
          <w:numId w:val="12"/>
        </w:numPr>
        <w:tabs>
          <w:tab w:val="left" w:pos="1418"/>
          <w:tab w:val="left" w:pos="1701"/>
          <w:tab w:val="left" w:pos="2552"/>
        </w:tabs>
        <w:autoSpaceDE w:val="0"/>
        <w:spacing w:before="25" w:after="25"/>
        <w:ind w:left="0" w:firstLine="1134"/>
        <w:jc w:val="both"/>
      </w:pPr>
      <w:r w:rsidRPr="00CC5112">
        <w:t xml:space="preserve">nuomos laikotarpio pabaigoje nuomininkas turi teisę įsigyti turtą už kainą, kuri, tikimasi, bus reikšmingai mažesnė (daugiau nei 30 proc.) už jo tikrąją vertę nuomos laikotarpio pabaigoje, ir nuomos laikotarpio pradžioje labai tikėtina, kad šia teise bus pasinaudota; </w:t>
      </w:r>
    </w:p>
    <w:p w:rsidR="00E5791B" w:rsidRPr="00CC5112" w:rsidRDefault="00E5791B" w:rsidP="00ED3C52">
      <w:pPr>
        <w:pStyle w:val="Sraopastraipa"/>
        <w:numPr>
          <w:ilvl w:val="0"/>
          <w:numId w:val="12"/>
        </w:numPr>
        <w:tabs>
          <w:tab w:val="left" w:pos="1418"/>
          <w:tab w:val="left" w:pos="1701"/>
          <w:tab w:val="left" w:pos="2552"/>
        </w:tabs>
        <w:autoSpaceDE w:val="0"/>
        <w:spacing w:before="25" w:after="25"/>
        <w:ind w:left="0" w:firstLine="1134"/>
        <w:jc w:val="both"/>
      </w:pPr>
      <w:r w:rsidRPr="00CC5112">
        <w:t xml:space="preserve">nuomos laikotarpis apima lygią ar ilgesnę nei 75 procentai turto ekonominio naudingo tarnavimo laiko dalį, net jei turto nuosavybės teisės nenumatoma perduoti; </w:t>
      </w:r>
    </w:p>
    <w:p w:rsidR="00E5791B" w:rsidRPr="00CC5112" w:rsidRDefault="00E5791B" w:rsidP="00ED3C52">
      <w:pPr>
        <w:pStyle w:val="Sraopastraipa"/>
        <w:numPr>
          <w:ilvl w:val="0"/>
          <w:numId w:val="12"/>
        </w:numPr>
        <w:tabs>
          <w:tab w:val="left" w:pos="1418"/>
          <w:tab w:val="left" w:pos="1701"/>
          <w:tab w:val="left" w:pos="2552"/>
        </w:tabs>
        <w:autoSpaceDE w:val="0"/>
        <w:spacing w:before="25" w:after="25"/>
        <w:ind w:left="0" w:firstLine="1134"/>
        <w:jc w:val="both"/>
      </w:pPr>
      <w:r w:rsidRPr="00CC5112">
        <w:t xml:space="preserve">nuomos laikotarpio pradžioje dabartinė pagrindinių nuomos įmokų vertė sudaro ne mažiau kaip 90 procentų nuomojamo turto tikrosios vertės; </w:t>
      </w:r>
    </w:p>
    <w:p w:rsidR="00E5791B" w:rsidRPr="00CC5112" w:rsidRDefault="00E5791B" w:rsidP="00ED3C52">
      <w:pPr>
        <w:pStyle w:val="Sraopastraipa"/>
        <w:numPr>
          <w:ilvl w:val="0"/>
          <w:numId w:val="12"/>
        </w:numPr>
        <w:tabs>
          <w:tab w:val="left" w:pos="1418"/>
          <w:tab w:val="left" w:pos="1701"/>
          <w:tab w:val="left" w:pos="2552"/>
        </w:tabs>
        <w:autoSpaceDE w:val="0"/>
        <w:spacing w:before="25" w:after="25"/>
        <w:ind w:left="0" w:firstLine="1134"/>
        <w:jc w:val="both"/>
      </w:pPr>
      <w:r w:rsidRPr="00CC5112">
        <w:t>nuomojamas turtas yra specifinės paskirties, šio turto savybės ir paskirtis negali būti lengvai pakeičiami ir, neatlikus didesnių pakeitimų, juo naudotis galėtų tik nuomininkas.</w:t>
      </w:r>
    </w:p>
    <w:p w:rsidR="00E5791B" w:rsidRPr="00CC5112" w:rsidRDefault="00E5791B" w:rsidP="00ED3C52">
      <w:pPr>
        <w:tabs>
          <w:tab w:val="left" w:pos="1134"/>
          <w:tab w:val="left" w:pos="1701"/>
          <w:tab w:val="left" w:pos="2552"/>
        </w:tabs>
        <w:autoSpaceDE w:val="0"/>
        <w:spacing w:before="25" w:after="25"/>
        <w:ind w:firstLine="1134"/>
        <w:jc w:val="both"/>
      </w:pPr>
      <w:r w:rsidRPr="00CC5112">
        <w:t>Apskaitoje registruojamos finansinės nuomos įmokos yra padalijamos, išskiriant turto vertės dengimo sumą, palūkanas ir kitas įmokas (kompensuotinas nuomos sumas, neapibrėžtus nuomos mokesčius ir pan., jei jie yra numatyti finansinės nuomos sutartyje).</w:t>
      </w:r>
    </w:p>
    <w:p w:rsidR="00E5791B" w:rsidRPr="00CC5112" w:rsidRDefault="00E5791B" w:rsidP="00ED3C52">
      <w:pPr>
        <w:widowControl w:val="0"/>
        <w:shd w:val="clear" w:color="auto" w:fill="FFFFFF"/>
        <w:tabs>
          <w:tab w:val="left" w:pos="1134"/>
          <w:tab w:val="left" w:pos="1701"/>
          <w:tab w:val="left" w:pos="2552"/>
        </w:tabs>
        <w:autoSpaceDE w:val="0"/>
        <w:spacing w:before="25" w:after="25"/>
        <w:ind w:firstLine="1134"/>
        <w:jc w:val="both"/>
        <w:rPr>
          <w:bCs/>
          <w:iCs/>
        </w:rPr>
      </w:pPr>
      <w:r w:rsidRPr="00CC5112">
        <w:t>Palūkanos priskiriamos finansinės ir investicinės veiklos sąnaudoms ir apskaitoje yra registruojamos kaupimo principu, t. y. registruojamos tą ataskaitinį laikotarpį, už kurį apskaičiuojamos ateityje mokėtinos palūkanos. Finansinės nuomos būdu įsigyto ilgalaikio materialiojo turto nudėvimoji vertė paskirstoma per visą jo naudingo tarnavimo laiką, kaip nurodyta I</w:t>
      </w:r>
      <w:r w:rsidRPr="00CC5112">
        <w:rPr>
          <w:bCs/>
          <w:iCs/>
        </w:rPr>
        <w:t xml:space="preserve">lgalaikio materialiojo turto apskaitos tvarkos apraše. </w:t>
      </w:r>
    </w:p>
    <w:p w:rsidR="00E5791B" w:rsidRPr="00CC5112" w:rsidRDefault="00E5791B" w:rsidP="00ED3C52">
      <w:pPr>
        <w:tabs>
          <w:tab w:val="left" w:pos="1134"/>
          <w:tab w:val="left" w:pos="1701"/>
          <w:tab w:val="left" w:pos="2552"/>
        </w:tabs>
        <w:spacing w:before="25" w:after="25"/>
        <w:ind w:firstLine="1134"/>
        <w:jc w:val="both"/>
      </w:pPr>
      <w:r w:rsidRPr="00CC5112">
        <w:t>Jei parduotas turtas po pardavimo yra išsinuomojamas pagal atgalinės finansinės nuomos sutartį, pelnas, gautas pardavus turtą, tą laikotarpį, kurį turtas buvo parduotas, nepripažįstamas. Savivaldybės administracija pelną, gautą pardavus turtą, registruoja apskaitoje kaip būsimųjų laikotarpių pajamas ir nudėvi per likusį atgalinės finansinės nuomos būdu įsigyto turto naudingo tarnavimo laiką, apskaičiuota nusidėvėjimo suma mažindama nusidėvėjimo sąnaudas. Atgalinės finansinės nuomos sutarties ekonominė prasmė prilyginama paskolai, užtikrintai įkeitimu, kai finansinės nuomos paslaugos teikėjas skolina finansinės nuomos paslaugos gavėjui pinigus, kaip užstatą naudodamas nupirktą ir išnuomotą turtą.</w:t>
      </w:r>
    </w:p>
    <w:p w:rsidR="00E5791B" w:rsidRPr="00CC5112" w:rsidRDefault="00E5791B" w:rsidP="00ED3C52">
      <w:pPr>
        <w:widowControl w:val="0"/>
        <w:shd w:val="clear" w:color="auto" w:fill="FFFFFF"/>
        <w:tabs>
          <w:tab w:val="left" w:pos="1134"/>
          <w:tab w:val="left" w:pos="1701"/>
          <w:tab w:val="left" w:pos="2552"/>
        </w:tabs>
        <w:autoSpaceDE w:val="0"/>
        <w:spacing w:before="25" w:after="25"/>
        <w:ind w:firstLine="1134"/>
        <w:jc w:val="both"/>
      </w:pPr>
      <w:r w:rsidRPr="00CC5112">
        <w:t>Nuoma laikoma veiklos nuoma, kai didžioji dalis su turto nuosavybe susijusios rizikos ir naudos neperduodama nuomininkui, o lieka nuomotojui. Nuomos įmokos pagal veiklos nuomos sutartį yra registruojamos apskaitoje kaip sąnaudos tolygiai (tiesiniu metodu) per nuomos laikotarpį.</w:t>
      </w:r>
    </w:p>
    <w:p w:rsidR="00E5791B" w:rsidRPr="00CC5112" w:rsidRDefault="00E5791B" w:rsidP="00E5791B">
      <w:pPr>
        <w:tabs>
          <w:tab w:val="left" w:pos="1275"/>
        </w:tabs>
        <w:jc w:val="both"/>
      </w:pPr>
    </w:p>
    <w:p w:rsidR="00E5791B" w:rsidRPr="00CC5112" w:rsidRDefault="00E5791B" w:rsidP="00ED3C52">
      <w:pPr>
        <w:tabs>
          <w:tab w:val="left" w:pos="1275"/>
        </w:tabs>
        <w:ind w:firstLine="1134"/>
        <w:jc w:val="both"/>
        <w:rPr>
          <w:b/>
          <w:bCs/>
        </w:rPr>
      </w:pPr>
      <w:r w:rsidRPr="00CC5112">
        <w:rPr>
          <w:b/>
          <w:bCs/>
        </w:rPr>
        <w:t>Pajamos</w:t>
      </w:r>
    </w:p>
    <w:p w:rsidR="00E5791B" w:rsidRPr="00CC5112" w:rsidRDefault="00E5791B" w:rsidP="00ED3C52">
      <w:pPr>
        <w:tabs>
          <w:tab w:val="left" w:pos="1275"/>
        </w:tabs>
        <w:ind w:firstLine="1134"/>
        <w:jc w:val="both"/>
        <w:rPr>
          <w:bCs/>
        </w:rPr>
      </w:pPr>
    </w:p>
    <w:p w:rsidR="00E5791B" w:rsidRPr="00CC5112" w:rsidRDefault="00E5791B" w:rsidP="00ED3C52">
      <w:pPr>
        <w:tabs>
          <w:tab w:val="left" w:pos="1275"/>
        </w:tabs>
        <w:ind w:firstLine="1134"/>
        <w:jc w:val="both"/>
      </w:pPr>
      <w:r w:rsidRPr="00CC5112">
        <w:t>Pajamų apskaitos principai, metodai ir taisyklės nustatyti 9-ajame VSAFAS „Mokesčių ir socialinių įmokų pajamos“, 10-ajame VSAFAS „Kitos pajamos“ ir 20-ajame VSAFAS „Finansavimo sumos“.</w:t>
      </w:r>
    </w:p>
    <w:p w:rsidR="00E5791B" w:rsidRPr="00CC5112" w:rsidRDefault="00E5791B" w:rsidP="00ED3C52">
      <w:pPr>
        <w:tabs>
          <w:tab w:val="left" w:pos="1275"/>
        </w:tabs>
        <w:ind w:firstLine="1134"/>
        <w:jc w:val="both"/>
      </w:pPr>
      <w:r w:rsidRPr="00CC5112">
        <w:t>Pajamų apskaitai taikomas kaupimo principas. Pajamos registruojamos apskaitoje ir rodomos finansinėse ataskaitose tą ataskaitinį laikotarpį, kurį yra uždirbamos, t. y. kurį suteikiamos viešosios paslaugos, atliekami darbai ar kt., nepriklausomai nuo pinigų gavimo momento.</w:t>
      </w:r>
    </w:p>
    <w:p w:rsidR="00E5791B" w:rsidRPr="00CC5112" w:rsidRDefault="00E5791B" w:rsidP="00ED3C52">
      <w:pPr>
        <w:tabs>
          <w:tab w:val="left" w:pos="0"/>
          <w:tab w:val="left" w:pos="1701"/>
          <w:tab w:val="left" w:pos="2552"/>
        </w:tabs>
        <w:autoSpaceDE w:val="0"/>
        <w:spacing w:before="25" w:after="25"/>
        <w:ind w:firstLine="1134"/>
        <w:jc w:val="both"/>
      </w:pPr>
      <w:r w:rsidRPr="00CC5112">
        <w:t>Finansavimo pajamos pripažįstamos tuo pačiu laikotarpiu, kai yra patiriamos su šiomis pajamomis susijusios sąnaudos. Registruojant visas su finansavimo pajamų pripažinimu susijusias ūkines operacijas, panaudojant detalizuojančius požymius nurodoma, kokios valstybės funkcijos ir kurios programos vykdymui buvo pripažintos finansavimo pajamos.</w:t>
      </w:r>
    </w:p>
    <w:p w:rsidR="00E5791B" w:rsidRPr="00CC5112" w:rsidRDefault="00E5791B" w:rsidP="00ED3C52">
      <w:pPr>
        <w:tabs>
          <w:tab w:val="left" w:pos="0"/>
          <w:tab w:val="left" w:pos="567"/>
          <w:tab w:val="left" w:pos="1701"/>
          <w:tab w:val="left" w:pos="2552"/>
        </w:tabs>
        <w:autoSpaceDE w:val="0"/>
        <w:spacing w:before="25" w:after="25"/>
        <w:ind w:firstLine="1134"/>
        <w:jc w:val="both"/>
      </w:pPr>
      <w:r w:rsidRPr="00CC5112">
        <w:t>Mokesčių pajamos pripažįstamos tą ataskaitinį laikotarpį, kurį įvyksta mokestinis įvykis, jei mokesčių prievolės sumą galima patikimai įvertinti iki ataskaitinio laikotarpio, kuriuo įvyko mokestinis įvykis, finansinių ataskaitų parengimo dienos. Jeigu mokesčių prievolės suma negali būti patikimai įvertinta, pajamos nėra pripažįstamos. Tokiu atveju pajamos pripažįstamos anksčiausią ataskaitinį laikotarpį, kurį mokesčių prievolės suma gali būti patikimai įvertinta.</w:t>
      </w:r>
    </w:p>
    <w:p w:rsidR="00E5791B" w:rsidRPr="00CC5112" w:rsidRDefault="00E5791B" w:rsidP="00ED3C52">
      <w:pPr>
        <w:tabs>
          <w:tab w:val="left" w:pos="0"/>
          <w:tab w:val="left" w:pos="567"/>
          <w:tab w:val="left" w:pos="1701"/>
          <w:tab w:val="left" w:pos="2552"/>
        </w:tabs>
        <w:autoSpaceDE w:val="0"/>
        <w:spacing w:before="25" w:after="25"/>
        <w:ind w:firstLine="1134"/>
        <w:jc w:val="both"/>
      </w:pPr>
      <w:r w:rsidRPr="00CC5112">
        <w:t>Pajamos, išskyrus finansavimo pajamas, pripažįstamos, kai tikėtina, jog bus gauta su sandoriu susijusi ekonominė naudą, kai galima patikimai įvertinti pajamų sumą bei su pajamų uždirbimu susijusias sąnaudas.</w:t>
      </w:r>
    </w:p>
    <w:p w:rsidR="00E5791B" w:rsidRPr="00CC5112" w:rsidRDefault="00E5791B" w:rsidP="00ED3C52">
      <w:pPr>
        <w:pStyle w:val="Sraas1"/>
        <w:numPr>
          <w:ilvl w:val="0"/>
          <w:numId w:val="0"/>
        </w:numPr>
        <w:tabs>
          <w:tab w:val="clear" w:pos="993"/>
          <w:tab w:val="left" w:pos="1134"/>
        </w:tabs>
        <w:spacing w:before="25" w:afterLines="25" w:after="60" w:line="240" w:lineRule="auto"/>
        <w:ind w:firstLine="1134"/>
        <w:rPr>
          <w:lang w:val="lt-LT"/>
        </w:rPr>
      </w:pPr>
      <w:r w:rsidRPr="00CC5112">
        <w:rPr>
          <w:lang w:val="lt-LT"/>
        </w:rPr>
        <w:t>Finansinės ir investicinės veiklos pajamas sudaro: palūkanų pajamos, dividendų pajamos, baudų ir delspinigių pajamos, teigiama valiutų kurso įtaka.</w:t>
      </w:r>
    </w:p>
    <w:p w:rsidR="00E5791B" w:rsidRPr="00CC5112" w:rsidRDefault="00E5791B" w:rsidP="00ED3C52">
      <w:pPr>
        <w:pStyle w:val="Sraas1"/>
        <w:numPr>
          <w:ilvl w:val="0"/>
          <w:numId w:val="0"/>
        </w:numPr>
        <w:tabs>
          <w:tab w:val="clear" w:pos="993"/>
          <w:tab w:val="left" w:pos="1134"/>
        </w:tabs>
        <w:spacing w:before="25" w:afterLines="25" w:after="60" w:line="240" w:lineRule="auto"/>
        <w:ind w:firstLine="1134"/>
        <w:rPr>
          <w:lang w:val="lt-LT"/>
        </w:rPr>
      </w:pPr>
      <w:r w:rsidRPr="00CC5112">
        <w:rPr>
          <w:lang w:val="lt-LT"/>
        </w:rPr>
        <w:t>Dividendų pajamos pripažįstamos Savivaldybės iždo pajamomis, kai įmonės, kurių akcijų turi savivaldybės administracija, paskelbia dividendus, kurie teisės aktų nustatyta tvarka turi būti pervesti į savivaldybės biudžetą. Jeigu iždas negauna informacijos apie paskelbtus dividendus, dividendų pajamos pripažįstamos pagal gautas dividendų įplaukas.</w:t>
      </w:r>
    </w:p>
    <w:p w:rsidR="00E5791B" w:rsidRPr="00CC5112" w:rsidRDefault="00E5791B" w:rsidP="00ED3C52">
      <w:pPr>
        <w:pStyle w:val="Sraas1"/>
        <w:numPr>
          <w:ilvl w:val="0"/>
          <w:numId w:val="0"/>
        </w:numPr>
        <w:tabs>
          <w:tab w:val="clear" w:pos="993"/>
          <w:tab w:val="left" w:pos="1134"/>
        </w:tabs>
        <w:spacing w:before="25" w:afterLines="25" w:after="60" w:line="240" w:lineRule="auto"/>
        <w:ind w:firstLine="1134"/>
        <w:rPr>
          <w:lang w:val="lt-LT"/>
        </w:rPr>
      </w:pPr>
      <w:r w:rsidRPr="00CC5112">
        <w:rPr>
          <w:lang w:val="lt-LT"/>
        </w:rPr>
        <w:t>Palūkanų pajamomis pripažįstamos palūkanos, gaunamos  už bankuose laikomus indėlius ir lėšų likutį einamojoje sąskaitoje ir kt.</w:t>
      </w:r>
    </w:p>
    <w:p w:rsidR="00E5791B" w:rsidRPr="00CC5112" w:rsidRDefault="00E5791B" w:rsidP="00ED3C52">
      <w:pPr>
        <w:pStyle w:val="Sraas1"/>
        <w:numPr>
          <w:ilvl w:val="0"/>
          <w:numId w:val="0"/>
        </w:numPr>
        <w:tabs>
          <w:tab w:val="clear" w:pos="993"/>
          <w:tab w:val="left" w:pos="1134"/>
        </w:tabs>
        <w:spacing w:before="25" w:afterLines="25" w:after="60" w:line="240" w:lineRule="auto"/>
        <w:ind w:firstLine="1134"/>
        <w:rPr>
          <w:lang w:val="lt-LT"/>
        </w:rPr>
      </w:pPr>
      <w:r w:rsidRPr="00CC5112">
        <w:rPr>
          <w:lang w:val="lt-LT"/>
        </w:rPr>
        <w:t>Pajamomis laikoma tik Savivaldybės administracijos gaunama ekonominė nauda. Savivaldybės iždo pajamomis pripažįstamos:</w:t>
      </w:r>
    </w:p>
    <w:p w:rsidR="00280F38" w:rsidRPr="00CC5112" w:rsidRDefault="00E5791B" w:rsidP="00280F38">
      <w:pPr>
        <w:pStyle w:val="Sraas11"/>
        <w:numPr>
          <w:ilvl w:val="0"/>
          <w:numId w:val="16"/>
        </w:numPr>
        <w:tabs>
          <w:tab w:val="clear" w:pos="1701"/>
          <w:tab w:val="left" w:pos="1276"/>
          <w:tab w:val="left" w:pos="1560"/>
        </w:tabs>
        <w:spacing w:before="25" w:afterLines="25" w:after="60" w:line="240" w:lineRule="auto"/>
        <w:ind w:left="0" w:firstLine="1134"/>
        <w:rPr>
          <w:lang w:val="lt-LT"/>
        </w:rPr>
      </w:pPr>
      <w:r w:rsidRPr="00CC5112">
        <w:rPr>
          <w:lang w:val="lt-LT"/>
        </w:rPr>
        <w:t>asignavimų valdytojų surinktos pajamos, jei asignavimų valdytojas yra atsakingas už tam tikrų sumų administravimą ir surinkimą, tačiau teisės aktų nustatyta tvarka privalo pervesti surinktas sumas į savivaldybės biudžetą ir neturi teisės šių sumų ar jų dalies atgauti tą patį ar vėlesniais ataskaitiniais laikotarpiais;</w:t>
      </w:r>
    </w:p>
    <w:p w:rsidR="00E5791B" w:rsidRPr="00CC5112" w:rsidRDefault="00E5791B" w:rsidP="00280F38">
      <w:pPr>
        <w:pStyle w:val="Sraas11"/>
        <w:numPr>
          <w:ilvl w:val="0"/>
          <w:numId w:val="16"/>
        </w:numPr>
        <w:tabs>
          <w:tab w:val="clear" w:pos="1701"/>
          <w:tab w:val="left" w:pos="1276"/>
          <w:tab w:val="left" w:pos="1560"/>
        </w:tabs>
        <w:spacing w:before="25" w:afterLines="25" w:after="60" w:line="240" w:lineRule="auto"/>
        <w:ind w:left="0" w:firstLine="1134"/>
        <w:rPr>
          <w:lang w:val="lt-LT"/>
        </w:rPr>
      </w:pPr>
      <w:r w:rsidRPr="00CC5112">
        <w:rPr>
          <w:lang w:val="lt-LT"/>
        </w:rPr>
        <w:t>asignavimų valdytojų uždirbtos pajamos, kurias jie teisės aktų nustatyta tvarka turi neatlygintinai pervesti į savivaldybės biudžetą.</w:t>
      </w:r>
    </w:p>
    <w:p w:rsidR="00E5791B" w:rsidRPr="00CC5112" w:rsidRDefault="00E5791B" w:rsidP="00ED3C52">
      <w:pPr>
        <w:pStyle w:val="Sraas1"/>
        <w:numPr>
          <w:ilvl w:val="0"/>
          <w:numId w:val="0"/>
        </w:numPr>
        <w:tabs>
          <w:tab w:val="clear" w:pos="993"/>
          <w:tab w:val="left" w:pos="1134"/>
        </w:tabs>
        <w:spacing w:before="25" w:afterLines="25" w:after="60" w:line="240" w:lineRule="auto"/>
        <w:ind w:firstLine="1134"/>
        <w:rPr>
          <w:lang w:val="lt-LT"/>
        </w:rPr>
      </w:pPr>
      <w:r w:rsidRPr="00CC5112">
        <w:rPr>
          <w:lang w:val="lt-LT"/>
        </w:rPr>
        <w:t>Pajamomis nepripažįstamos trečiųjų asmenų vardu surinktos sumos, kadangi tai nėra  gaunama ekonominė nauda. Jei Savivaldybės administracija yra atsakinga už tam tikrų sumų administravimą ir surinkimą, tačiau teisės aktų nustatyta tvarka privalo pervesti surinktas sumas į biudžetą ir neturi teisės šių sumų ar jų dalies atgauti tą patį ar vėlesniais ataskaitiniais laikotarpiais, registruojant pajamas kartu registruojamos į biudžetą pervestinos sumos.</w:t>
      </w:r>
    </w:p>
    <w:p w:rsidR="00E5791B" w:rsidRPr="00CC5112" w:rsidRDefault="00E5791B" w:rsidP="00E5791B">
      <w:pPr>
        <w:tabs>
          <w:tab w:val="left" w:pos="1275"/>
        </w:tabs>
        <w:ind w:firstLine="1134"/>
        <w:jc w:val="both"/>
      </w:pPr>
    </w:p>
    <w:p w:rsidR="00E5791B" w:rsidRPr="00CC5112" w:rsidRDefault="00E5791B" w:rsidP="00280F38">
      <w:pPr>
        <w:tabs>
          <w:tab w:val="left" w:pos="1275"/>
        </w:tabs>
        <w:ind w:firstLine="1134"/>
        <w:jc w:val="both"/>
        <w:rPr>
          <w:b/>
          <w:bCs/>
        </w:rPr>
      </w:pPr>
      <w:r w:rsidRPr="00CC5112">
        <w:rPr>
          <w:b/>
          <w:bCs/>
        </w:rPr>
        <w:t>Sąnaudos</w:t>
      </w:r>
    </w:p>
    <w:p w:rsidR="00E5791B" w:rsidRPr="00CC5112" w:rsidRDefault="00E5791B" w:rsidP="00280F38">
      <w:pPr>
        <w:tabs>
          <w:tab w:val="left" w:pos="1275"/>
        </w:tabs>
        <w:ind w:firstLine="1134"/>
        <w:jc w:val="both"/>
        <w:rPr>
          <w:bCs/>
        </w:rPr>
      </w:pPr>
    </w:p>
    <w:p w:rsidR="00E5791B" w:rsidRPr="00CC5112" w:rsidRDefault="00E5791B" w:rsidP="00280F38">
      <w:pPr>
        <w:tabs>
          <w:tab w:val="left" w:pos="567"/>
          <w:tab w:val="left" w:pos="1701"/>
          <w:tab w:val="left" w:pos="2552"/>
        </w:tabs>
        <w:autoSpaceDE w:val="0"/>
        <w:spacing w:before="25" w:after="25"/>
        <w:ind w:firstLine="1134"/>
        <w:jc w:val="both"/>
      </w:pPr>
      <w:r w:rsidRPr="00CC5112">
        <w:t>Sąnaudų apskaita vedama vadovaujantis 11-uoju VSAFAS „Sąnaudos“ nurodytais principais, metodais ir taisyklėmis. Sąnaudų, susijusių su konkrečių turto, finansavimo sumų ir įsipareigojimų straipsnių apskaita, principai nustatyti šių straipsnių apskaitą reglamentuojančiuose VSAFAS.</w:t>
      </w:r>
    </w:p>
    <w:p w:rsidR="00E5791B" w:rsidRPr="00CC5112" w:rsidRDefault="00E5791B" w:rsidP="00280F38">
      <w:pPr>
        <w:tabs>
          <w:tab w:val="left" w:pos="1134"/>
        </w:tabs>
        <w:ind w:firstLine="1134"/>
        <w:jc w:val="both"/>
      </w:pPr>
      <w:r w:rsidRPr="00CC5112">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laikotarpį, kada buvo patirtos.</w:t>
      </w:r>
    </w:p>
    <w:p w:rsidR="00E5791B" w:rsidRPr="00CC5112" w:rsidRDefault="00E5791B" w:rsidP="00280F38">
      <w:pPr>
        <w:tabs>
          <w:tab w:val="left" w:pos="1134"/>
          <w:tab w:val="left" w:pos="1701"/>
          <w:tab w:val="left" w:pos="2552"/>
        </w:tabs>
        <w:autoSpaceDE w:val="0"/>
        <w:ind w:firstLine="1134"/>
      </w:pPr>
      <w:r w:rsidRPr="00CC5112">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rsidR="00E5791B" w:rsidRPr="00CC5112" w:rsidRDefault="00E5791B" w:rsidP="00280F38">
      <w:pPr>
        <w:tabs>
          <w:tab w:val="left" w:pos="1134"/>
        </w:tabs>
        <w:ind w:firstLine="1134"/>
      </w:pPr>
    </w:p>
    <w:p w:rsidR="00E5791B" w:rsidRPr="00CC5112" w:rsidRDefault="00E5791B" w:rsidP="00280F38">
      <w:pPr>
        <w:pStyle w:val="Antrat1"/>
        <w:spacing w:before="0" w:after="0"/>
        <w:ind w:firstLine="1134"/>
        <w:rPr>
          <w:rFonts w:ascii="Times New Roman" w:hAnsi="Times New Roman"/>
          <w:bCs w:val="0"/>
          <w:sz w:val="24"/>
          <w:szCs w:val="24"/>
          <w:lang w:val="lt-LT"/>
        </w:rPr>
      </w:pPr>
      <w:bookmarkStart w:id="1" w:name="_Toc333413262"/>
      <w:r w:rsidRPr="00CC5112">
        <w:rPr>
          <w:rFonts w:ascii="Times New Roman" w:hAnsi="Times New Roman"/>
          <w:bCs w:val="0"/>
          <w:sz w:val="24"/>
          <w:szCs w:val="24"/>
          <w:lang w:val="lt-LT"/>
        </w:rPr>
        <w:t>Sandoriai užsienio valiuta</w:t>
      </w:r>
      <w:bookmarkEnd w:id="1"/>
    </w:p>
    <w:p w:rsidR="00E5791B" w:rsidRPr="00CC5112" w:rsidRDefault="00E5791B" w:rsidP="00280F38">
      <w:pPr>
        <w:tabs>
          <w:tab w:val="left" w:pos="1275"/>
        </w:tabs>
        <w:ind w:firstLine="1134"/>
        <w:rPr>
          <w:b/>
        </w:rPr>
      </w:pPr>
    </w:p>
    <w:p w:rsidR="00E5791B" w:rsidRPr="00CC5112" w:rsidRDefault="00E5791B" w:rsidP="00280F38">
      <w:pPr>
        <w:tabs>
          <w:tab w:val="left" w:pos="1134"/>
          <w:tab w:val="left" w:pos="1701"/>
          <w:tab w:val="left" w:pos="2552"/>
        </w:tabs>
        <w:autoSpaceDE w:val="0"/>
        <w:spacing w:before="25" w:after="25"/>
        <w:ind w:firstLine="1134"/>
        <w:jc w:val="both"/>
      </w:pPr>
      <w:r w:rsidRPr="00CC5112">
        <w:t>Sandorių užsienio valiuta apskaitos principai nustatyti 21-ajame viešojo sektoriaus ir finansinės atskaitomybės standarte „Sandoriai užsienio valiuta“.</w:t>
      </w:r>
    </w:p>
    <w:p w:rsidR="00E5791B" w:rsidRPr="00CC5112" w:rsidRDefault="00E5791B" w:rsidP="00280F38">
      <w:pPr>
        <w:tabs>
          <w:tab w:val="left" w:pos="1134"/>
          <w:tab w:val="left" w:pos="1701"/>
          <w:tab w:val="left" w:pos="2552"/>
        </w:tabs>
        <w:autoSpaceDE w:val="0"/>
        <w:spacing w:before="25" w:after="25"/>
        <w:ind w:firstLine="1134"/>
        <w:jc w:val="both"/>
      </w:pPr>
      <w:r w:rsidRPr="00CC5112">
        <w:t>Sandoriai užsienio valiuta pirminio pripažinimo metu registruojami apskaitoje Buhalterinės apskaitos įstatyme nustatyta tvarka. Pelnas ir nuostoliai iš sandorių užsienio valiuta bei iš užsienio valiuta išreikšto turto ir įsipareigojimų likučių perkainojimo dieną yra registruojami finansinės ir investicinės veiklos pajamų ar sąnaudų sąskaitose.</w:t>
      </w:r>
    </w:p>
    <w:p w:rsidR="00E5791B" w:rsidRPr="00CC5112" w:rsidRDefault="00E5791B" w:rsidP="00280F38">
      <w:pPr>
        <w:tabs>
          <w:tab w:val="left" w:pos="1134"/>
          <w:tab w:val="left" w:pos="1701"/>
          <w:tab w:val="left" w:pos="2552"/>
        </w:tabs>
        <w:autoSpaceDE w:val="0"/>
        <w:spacing w:before="25" w:after="25"/>
        <w:ind w:firstLine="1134"/>
        <w:jc w:val="both"/>
      </w:pPr>
      <w:r w:rsidRPr="00CC5112">
        <w:t xml:space="preserve">Valiutinių straipsnių likučiai ataskaitinio laikotarpio pabaigoje perskaičiuojami pagal Buhalterinės apskaitos įstatyme numatytą tvarką. </w:t>
      </w:r>
      <w:r w:rsidRPr="00CC5112">
        <w:rPr>
          <w:color w:val="FF0000"/>
        </w:rPr>
        <w:t xml:space="preserve"> </w:t>
      </w:r>
    </w:p>
    <w:p w:rsidR="00E5791B" w:rsidRPr="00CC5112" w:rsidRDefault="00E5791B" w:rsidP="00280F38">
      <w:pPr>
        <w:tabs>
          <w:tab w:val="left" w:pos="1134"/>
        </w:tabs>
        <w:ind w:firstLine="1134"/>
        <w:jc w:val="both"/>
      </w:pPr>
    </w:p>
    <w:p w:rsidR="00E5791B" w:rsidRPr="00CC5112" w:rsidRDefault="00E5791B" w:rsidP="00280F38">
      <w:pPr>
        <w:tabs>
          <w:tab w:val="left" w:pos="1275"/>
        </w:tabs>
        <w:ind w:firstLine="1134"/>
        <w:jc w:val="both"/>
        <w:rPr>
          <w:b/>
          <w:bCs/>
        </w:rPr>
      </w:pPr>
      <w:r w:rsidRPr="00CC5112">
        <w:rPr>
          <w:b/>
          <w:bCs/>
        </w:rPr>
        <w:t>Turto nuvertėjimas</w:t>
      </w:r>
    </w:p>
    <w:p w:rsidR="00E5791B" w:rsidRPr="00CC5112" w:rsidRDefault="00E5791B" w:rsidP="00280F38">
      <w:pPr>
        <w:tabs>
          <w:tab w:val="left" w:pos="1275"/>
        </w:tabs>
        <w:ind w:firstLine="1134"/>
        <w:jc w:val="both"/>
        <w:rPr>
          <w:b/>
          <w:bCs/>
        </w:rPr>
      </w:pPr>
    </w:p>
    <w:p w:rsidR="00E5791B" w:rsidRPr="00CC5112" w:rsidRDefault="00E5791B" w:rsidP="00280F38">
      <w:pPr>
        <w:tabs>
          <w:tab w:val="left" w:pos="1134"/>
          <w:tab w:val="left" w:pos="1701"/>
          <w:tab w:val="left" w:pos="2552"/>
        </w:tabs>
        <w:autoSpaceDE w:val="0"/>
        <w:spacing w:before="25" w:after="25"/>
        <w:ind w:firstLine="1134"/>
        <w:jc w:val="both"/>
      </w:pPr>
      <w:r w:rsidRPr="00CC5112">
        <w:t>Turto nuvertėjimo apskaitos principai, metodai ir taisyklės nustatyti 8-ajame VSAFAS, 17-ajame VSAFAS ir 22-ajame VSAFAS.</w:t>
      </w:r>
    </w:p>
    <w:p w:rsidR="00E5791B" w:rsidRPr="00CC5112" w:rsidRDefault="00E5791B" w:rsidP="00280F38">
      <w:pPr>
        <w:tabs>
          <w:tab w:val="left" w:pos="1134"/>
          <w:tab w:val="left" w:pos="1701"/>
          <w:tab w:val="left" w:pos="2552"/>
        </w:tabs>
        <w:autoSpaceDE w:val="0"/>
        <w:spacing w:before="25" w:after="25"/>
        <w:ind w:firstLine="1134"/>
        <w:jc w:val="both"/>
      </w:pPr>
      <w:r w:rsidRPr="00CC5112">
        <w:t xml:space="preserve">Nuostoliai dėl turto nuvertėjimo apskaitoje pripažįstami pagal nuvertėjimo požymius. Sudarant finansinių ataskaitų rinkinį, nustatoma, ar yra turo nuvertėjimo požymių. Jeigu yra vidinių ar išorinių nuvertėjimo požymių, nustatoma turto atsiperkamoji vertė, kuri palyginama su turto balansine verte. </w:t>
      </w:r>
    </w:p>
    <w:p w:rsidR="00E5791B" w:rsidRPr="00CC5112" w:rsidRDefault="00E5791B" w:rsidP="00280F38">
      <w:pPr>
        <w:tabs>
          <w:tab w:val="left" w:pos="1134"/>
          <w:tab w:val="left" w:pos="1701"/>
          <w:tab w:val="left" w:pos="2552"/>
        </w:tabs>
        <w:autoSpaceDE w:val="0"/>
        <w:spacing w:before="25" w:after="25"/>
        <w:ind w:firstLine="1134"/>
        <w:jc w:val="both"/>
      </w:pPr>
      <w:r w:rsidRPr="00CC5112">
        <w:t>Nuostoliai dėl turto nuvertėjimo apskaitoje registruojami apskaičiuotų nuostolių suma mažinant turto balansinę vertę bei ta pačia suma registruojant ataskaitinio laikotarpio pagrindinės arba kitos veiklos sąnaudas.</w:t>
      </w:r>
    </w:p>
    <w:p w:rsidR="00E5791B" w:rsidRPr="00CC5112" w:rsidRDefault="00E5791B" w:rsidP="00280F38">
      <w:pPr>
        <w:tabs>
          <w:tab w:val="left" w:pos="1275"/>
        </w:tabs>
        <w:ind w:firstLine="1134"/>
        <w:jc w:val="both"/>
      </w:pPr>
      <w:r w:rsidRPr="00CC5112">
        <w:t>Turto nuvertėjimas nėra tolygus nurašymui. Turto nuvertėjimo atveju yra mažinama turto vieneto balansinė vertė, tačiau išsaugoma informacija apie turto įsigijimo savikainą, t. y. turto vieneto įsigijimo savikaina apskaitoje lieka tokia pati kaip iki nuvertėjimo nustatymo, o nuvertėjimas registruojamas atskiroje sąskaitoje. Turto nuvertėjimas apskaitoje yra registruojamas ne didesne verte nei turto balansinė vertė.</w:t>
      </w:r>
    </w:p>
    <w:p w:rsidR="00E5791B" w:rsidRPr="00CC5112" w:rsidRDefault="00E5791B" w:rsidP="00280F38">
      <w:pPr>
        <w:tabs>
          <w:tab w:val="left" w:pos="1276"/>
          <w:tab w:val="left" w:pos="1701"/>
          <w:tab w:val="left" w:pos="2552"/>
        </w:tabs>
        <w:autoSpaceDE w:val="0"/>
        <w:spacing w:before="25" w:after="25"/>
        <w:ind w:firstLine="1134"/>
        <w:jc w:val="both"/>
      </w:pPr>
      <w:r w:rsidRPr="00CC5112">
        <w:t>Kai vėlesnį ataskaitinį laikotarpį, pasikeitus aplinkybėms, atkuriama anksčiau pripažinta turto nuvertėjimo suma, turto balansinė vertė po nuvertėjimo atkūrimo negali viršyti jo balansinės vertės, kuri būtų buvusi, jeigu turto nuvertėjimas nebūtų buvęs pripažintas.</w:t>
      </w:r>
    </w:p>
    <w:p w:rsidR="00E5791B" w:rsidRPr="00CC5112" w:rsidRDefault="00E5791B" w:rsidP="00280F38">
      <w:pPr>
        <w:tabs>
          <w:tab w:val="left" w:pos="1276"/>
          <w:tab w:val="left" w:pos="1701"/>
          <w:tab w:val="left" w:pos="2552"/>
        </w:tabs>
        <w:autoSpaceDE w:val="0"/>
        <w:spacing w:before="25" w:after="25"/>
        <w:ind w:firstLine="1134"/>
        <w:jc w:val="both"/>
      </w:pPr>
      <w:r w:rsidRPr="00CC5112">
        <w:t>Pripažinus ilgalaikio materialiojo ar nematerialiojo turto nuvertėjimo nuostolį, perskaičiuojamos būsimiesiems ataskaitiniam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rsidR="00E5791B" w:rsidRPr="00CC5112" w:rsidRDefault="00E5791B" w:rsidP="00E5791B">
      <w:pPr>
        <w:tabs>
          <w:tab w:val="left" w:pos="1275"/>
        </w:tabs>
        <w:jc w:val="both"/>
      </w:pPr>
    </w:p>
    <w:p w:rsidR="00E5791B" w:rsidRPr="00CC5112" w:rsidRDefault="00E5791B" w:rsidP="00280F38">
      <w:pPr>
        <w:tabs>
          <w:tab w:val="left" w:pos="1134"/>
        </w:tabs>
        <w:ind w:firstLine="1134"/>
        <w:jc w:val="both"/>
        <w:rPr>
          <w:b/>
        </w:rPr>
      </w:pPr>
      <w:r w:rsidRPr="00CC5112">
        <w:rPr>
          <w:b/>
        </w:rPr>
        <w:t>Neapibrėžtasis turtas ir neapibrėžtieji įsipareigojimai</w:t>
      </w:r>
    </w:p>
    <w:p w:rsidR="00E5791B" w:rsidRPr="00CC5112" w:rsidRDefault="00E5791B" w:rsidP="00280F38">
      <w:pPr>
        <w:tabs>
          <w:tab w:val="left" w:pos="1134"/>
        </w:tabs>
        <w:ind w:firstLine="1134"/>
        <w:jc w:val="both"/>
      </w:pPr>
    </w:p>
    <w:p w:rsidR="00E5791B" w:rsidRPr="00CC5112" w:rsidRDefault="00E5791B" w:rsidP="00280F38">
      <w:pPr>
        <w:tabs>
          <w:tab w:val="left" w:pos="1276"/>
          <w:tab w:val="left" w:pos="1701"/>
          <w:tab w:val="left" w:pos="2552"/>
        </w:tabs>
        <w:autoSpaceDE w:val="0"/>
        <w:spacing w:before="25" w:after="25"/>
        <w:ind w:firstLine="1134"/>
        <w:jc w:val="both"/>
      </w:pPr>
      <w:r w:rsidRPr="00CC5112">
        <w:t>Neapibrėžtųjų įsipareigojimų ir neapibrėžtojo turto apskaitos principai nustatyti 18-ajame VSAFAS.</w:t>
      </w:r>
    </w:p>
    <w:p w:rsidR="00E5791B" w:rsidRPr="00CC5112" w:rsidRDefault="00E5791B" w:rsidP="00280F38">
      <w:pPr>
        <w:tabs>
          <w:tab w:val="left" w:pos="1276"/>
          <w:tab w:val="left" w:pos="1701"/>
          <w:tab w:val="left" w:pos="2552"/>
        </w:tabs>
        <w:autoSpaceDE w:val="0"/>
        <w:spacing w:before="25" w:after="25"/>
        <w:ind w:firstLine="1134"/>
        <w:jc w:val="both"/>
      </w:pPr>
      <w:r w:rsidRPr="00CC5112">
        <w:t>Savivaldybės administracija nepripažįsta neapibrėžtųjų įsipareigojimų ir neapibrėžtojo turto balanso sąskaitose,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 Kai tikimybė, kad reikės panaudoti turtą įsipareigojimui apmokėti yra labai maža, informacija apie juos aiškinamajame rašte nebūtina. Informacija apie neapibrėžtąjį turtą ir neapibrėžtuosius įsipareigojimus peržiūrima kiekvieno ataskaitinio laikotarpio paskutinę dieną, siekiant užtikrinti, kad pasikeitimai būtų tinkamai atskleisti aiškinamajame rašte.</w:t>
      </w:r>
    </w:p>
    <w:p w:rsidR="00E5791B" w:rsidRPr="00CC5112" w:rsidRDefault="00E5791B" w:rsidP="00280F38">
      <w:pPr>
        <w:tabs>
          <w:tab w:val="left" w:pos="1276"/>
          <w:tab w:val="left" w:pos="1701"/>
          <w:tab w:val="left" w:pos="2552"/>
        </w:tabs>
        <w:autoSpaceDE w:val="0"/>
        <w:spacing w:before="25" w:after="25"/>
        <w:ind w:firstLine="1134"/>
        <w:jc w:val="both"/>
      </w:pPr>
      <w:r w:rsidRPr="00CC5112">
        <w:t>Neapibrėžtasis turtas finansinėse ataskaitose neparodomas, kol nėra aišku, ar jis duos Savivaldybės administracijai ekonominės naudos. Jei ekonominė nauda tikėtina, tačiau nėra žinoma, kad ji bus gauta, informacija apie neapibrėžtąjį turtą pateikiama aiškinamajame rašte.</w:t>
      </w:r>
    </w:p>
    <w:p w:rsidR="00E5791B" w:rsidRPr="00CC5112" w:rsidRDefault="00E5791B" w:rsidP="00280F38">
      <w:pPr>
        <w:pStyle w:val="Antrat1"/>
        <w:ind w:firstLine="1134"/>
        <w:rPr>
          <w:rFonts w:ascii="Times New Roman" w:hAnsi="Times New Roman"/>
          <w:sz w:val="24"/>
          <w:szCs w:val="24"/>
          <w:lang w:val="lt-LT"/>
        </w:rPr>
      </w:pPr>
      <w:bookmarkStart w:id="2" w:name="_Toc333413265"/>
      <w:r w:rsidRPr="00CC5112">
        <w:rPr>
          <w:rFonts w:ascii="Times New Roman" w:hAnsi="Times New Roman"/>
          <w:sz w:val="24"/>
          <w:szCs w:val="24"/>
          <w:lang w:val="lt-LT"/>
        </w:rPr>
        <w:t>Grynasis turtas</w:t>
      </w:r>
      <w:bookmarkEnd w:id="2"/>
    </w:p>
    <w:p w:rsidR="00E5791B" w:rsidRPr="00CC5112" w:rsidRDefault="00E5791B" w:rsidP="00280F38">
      <w:pPr>
        <w:spacing w:line="320" w:lineRule="atLeast"/>
        <w:ind w:firstLine="1134"/>
        <w:jc w:val="both"/>
      </w:pPr>
    </w:p>
    <w:p w:rsidR="00E5791B" w:rsidRPr="00CC5112" w:rsidRDefault="00E5791B" w:rsidP="00280F38">
      <w:pPr>
        <w:tabs>
          <w:tab w:val="left" w:pos="1276"/>
          <w:tab w:val="left" w:pos="1800"/>
        </w:tabs>
        <w:suppressAutoHyphens w:val="0"/>
        <w:autoSpaceDE w:val="0"/>
        <w:autoSpaceDN w:val="0"/>
        <w:adjustRightInd w:val="0"/>
        <w:ind w:firstLine="1134"/>
        <w:jc w:val="both"/>
        <w:rPr>
          <w:rFonts w:eastAsia="Calibri"/>
          <w:lang w:eastAsia="en-US"/>
        </w:rPr>
      </w:pPr>
      <w:r w:rsidRPr="00CC5112">
        <w:rPr>
          <w:rFonts w:eastAsia="Calibri"/>
          <w:lang w:eastAsia="en-US"/>
        </w:rPr>
        <w:t>Finansinių metų pradžioje praėjusių metų perviršis ar deficitas, užregistruotas sąskaitoje 3110001 „Einamųjų metų perviršis ar deficitas (išskyrus nuosavybės metodo įtaką)“ , pripažįstamas ankstesnių metų perviršiu ar deficitu ir perkeliamas į 3110002 sąskaitą „ Sukauptas ankstesnių metų perviršis ar deficitas (išskyrus nuosavybės metodo įtaką)“, o nuosavybės metodo įtaka užregistruota sąskaitoje 3120001 „Einamųjų metų nuosavybės metodo įtaka“ pripažįstama ankstesnių metų nuosavybės metodo įtaka ir perkeliama į 3120002 sąskaitą  „Sukaupta ankstesnių metų nuosavybės metodo įtaka“.</w:t>
      </w:r>
    </w:p>
    <w:p w:rsidR="00280F38" w:rsidRPr="00CC5112" w:rsidRDefault="00280F38" w:rsidP="00280F38">
      <w:pPr>
        <w:pStyle w:val="Antrat1"/>
        <w:spacing w:before="0" w:after="0"/>
        <w:ind w:firstLine="1134"/>
        <w:rPr>
          <w:rFonts w:ascii="Times New Roman" w:hAnsi="Times New Roman"/>
          <w:bCs w:val="0"/>
          <w:sz w:val="24"/>
          <w:szCs w:val="24"/>
          <w:lang w:val="lt-LT"/>
        </w:rPr>
      </w:pPr>
      <w:bookmarkStart w:id="3" w:name="_Toc333413266"/>
    </w:p>
    <w:p w:rsidR="00E5791B" w:rsidRPr="00CC5112" w:rsidRDefault="00E5791B" w:rsidP="00280F38">
      <w:pPr>
        <w:pStyle w:val="Antrat1"/>
        <w:spacing w:before="0" w:after="0"/>
        <w:ind w:firstLine="1134"/>
        <w:rPr>
          <w:rFonts w:ascii="Times New Roman" w:hAnsi="Times New Roman"/>
          <w:bCs w:val="0"/>
          <w:sz w:val="24"/>
          <w:szCs w:val="24"/>
          <w:lang w:val="lt-LT"/>
        </w:rPr>
      </w:pPr>
      <w:r w:rsidRPr="00CC5112">
        <w:rPr>
          <w:rFonts w:ascii="Times New Roman" w:hAnsi="Times New Roman"/>
          <w:bCs w:val="0"/>
          <w:sz w:val="24"/>
          <w:szCs w:val="24"/>
          <w:lang w:val="lt-LT"/>
        </w:rPr>
        <w:t>Poataskaitiniai įvykiai</w:t>
      </w:r>
      <w:bookmarkEnd w:id="3"/>
    </w:p>
    <w:p w:rsidR="00E5791B" w:rsidRPr="00CC5112" w:rsidRDefault="00E5791B" w:rsidP="00280F38">
      <w:pPr>
        <w:tabs>
          <w:tab w:val="left" w:pos="1701"/>
          <w:tab w:val="left" w:pos="2552"/>
        </w:tabs>
        <w:autoSpaceDE w:val="0"/>
        <w:ind w:firstLine="1134"/>
        <w:jc w:val="both"/>
        <w:rPr>
          <w:b/>
          <w:bCs/>
        </w:rPr>
      </w:pPr>
    </w:p>
    <w:p w:rsidR="00E5791B" w:rsidRPr="00CC5112" w:rsidRDefault="00E5791B" w:rsidP="00280F38">
      <w:pPr>
        <w:tabs>
          <w:tab w:val="left" w:pos="1276"/>
          <w:tab w:val="left" w:pos="1701"/>
          <w:tab w:val="left" w:pos="2552"/>
        </w:tabs>
        <w:autoSpaceDE w:val="0"/>
        <w:spacing w:before="25" w:after="25"/>
        <w:ind w:firstLine="1134"/>
        <w:jc w:val="both"/>
      </w:pPr>
      <w:r w:rsidRPr="00CC5112">
        <w:t>Poataskaitinių įvykių apskaitos ir pateikimo finansinėse ataskaitose taisyklės pateiktos 18</w:t>
      </w:r>
      <w:r w:rsidR="003546D6">
        <w:t>-</w:t>
      </w:r>
      <w:r w:rsidRPr="00CC5112">
        <w:t>ajame VSAFAS.</w:t>
      </w:r>
    </w:p>
    <w:p w:rsidR="00280F38" w:rsidRPr="00CC5112" w:rsidRDefault="00E5791B" w:rsidP="00280F38">
      <w:pPr>
        <w:tabs>
          <w:tab w:val="left" w:pos="1275"/>
          <w:tab w:val="left" w:pos="1701"/>
          <w:tab w:val="left" w:pos="2552"/>
        </w:tabs>
        <w:autoSpaceDE w:val="0"/>
        <w:spacing w:before="25" w:after="25"/>
        <w:ind w:firstLine="1134"/>
        <w:jc w:val="both"/>
      </w:pPr>
      <w:r w:rsidRPr="00CC5112">
        <w:t xml:space="preserve">Poataskaitiniai įvykiai, kurie suteikia papildomos informacijos apie VSS finansinę padėtį paskutinę ataskaitinio laikotarpio dieną yra laikomi koreguojančiais įvykiais ir atsižvelgiant į jų įtakos reikšmę parengtoms finansinėms ataskaitoms, yra parodomi finansinės būklės, veiklos rezultatų ir pinigų srautų ataskaitose. </w:t>
      </w:r>
    </w:p>
    <w:p w:rsidR="00E5791B" w:rsidRPr="00CC5112" w:rsidRDefault="00E5791B" w:rsidP="00280F38">
      <w:pPr>
        <w:tabs>
          <w:tab w:val="left" w:pos="1275"/>
          <w:tab w:val="left" w:pos="1701"/>
          <w:tab w:val="left" w:pos="2552"/>
        </w:tabs>
        <w:autoSpaceDE w:val="0"/>
        <w:ind w:firstLine="1134"/>
        <w:jc w:val="both"/>
      </w:pPr>
      <w:r w:rsidRPr="00CC5112">
        <w:t>Nekoreguojantys poataskaitiniai įvykiai aprašomi aiškinamajame rašte, kai jie reikšmingi.</w:t>
      </w:r>
    </w:p>
    <w:p w:rsidR="00280F38" w:rsidRPr="00CC5112" w:rsidRDefault="00280F38" w:rsidP="00280F38">
      <w:pPr>
        <w:tabs>
          <w:tab w:val="left" w:pos="1275"/>
          <w:tab w:val="left" w:pos="1701"/>
          <w:tab w:val="left" w:pos="2552"/>
        </w:tabs>
        <w:autoSpaceDE w:val="0"/>
        <w:ind w:firstLine="1134"/>
        <w:jc w:val="both"/>
      </w:pPr>
    </w:p>
    <w:p w:rsidR="00E5791B" w:rsidRPr="00CC5112" w:rsidRDefault="00E5791B" w:rsidP="00BF134D">
      <w:pPr>
        <w:pStyle w:val="Antrat1"/>
        <w:spacing w:before="0" w:after="0"/>
        <w:ind w:firstLine="1134"/>
        <w:rPr>
          <w:rFonts w:ascii="Times New Roman" w:hAnsi="Times New Roman"/>
          <w:bCs w:val="0"/>
          <w:sz w:val="24"/>
          <w:szCs w:val="24"/>
          <w:lang w:val="lt-LT"/>
        </w:rPr>
      </w:pPr>
      <w:bookmarkStart w:id="4" w:name="_Toc333413267"/>
      <w:r w:rsidRPr="00CC5112">
        <w:rPr>
          <w:rFonts w:ascii="Times New Roman" w:hAnsi="Times New Roman"/>
          <w:bCs w:val="0"/>
          <w:sz w:val="24"/>
          <w:szCs w:val="24"/>
          <w:lang w:val="lt-LT"/>
        </w:rPr>
        <w:t>Tarpusavio užskaitos ir palyginamieji skaičiai</w:t>
      </w:r>
      <w:bookmarkEnd w:id="4"/>
    </w:p>
    <w:p w:rsidR="00E5791B" w:rsidRPr="00CC5112" w:rsidRDefault="00E5791B" w:rsidP="00280F38">
      <w:pPr>
        <w:tabs>
          <w:tab w:val="left" w:pos="1701"/>
          <w:tab w:val="left" w:pos="2552"/>
        </w:tabs>
        <w:autoSpaceDE w:val="0"/>
        <w:ind w:firstLine="1134"/>
        <w:jc w:val="both"/>
        <w:rPr>
          <w:b/>
          <w:bCs/>
        </w:rPr>
      </w:pPr>
    </w:p>
    <w:p w:rsidR="00E5791B" w:rsidRPr="00CC5112" w:rsidRDefault="00E5791B" w:rsidP="00280F38">
      <w:pPr>
        <w:tabs>
          <w:tab w:val="left" w:pos="1276"/>
          <w:tab w:val="left" w:pos="1701"/>
          <w:tab w:val="left" w:pos="2552"/>
        </w:tabs>
        <w:autoSpaceDE w:val="0"/>
        <w:spacing w:before="25" w:after="25"/>
        <w:ind w:firstLine="1134"/>
        <w:jc w:val="both"/>
      </w:pPr>
      <w:r w:rsidRPr="00CC5112">
        <w:t>Sudarant finansinių ataskaitų rinkinį, turtas ir įsipareigojimai bei pajamos ir sąnaudos nėra užskaitomos tarpusavyje, išskyrus atvejus, kai konkretus VSAFAS reikalauja būtent tokios užskaitos (pavyzdžiui, dėl draudiminio įvykio patirtos sąnaudos yra užskaitomos su gauta draudimo išmoka).</w:t>
      </w:r>
    </w:p>
    <w:p w:rsidR="00E5791B" w:rsidRPr="00CC5112" w:rsidRDefault="00E5791B" w:rsidP="00280F38">
      <w:pPr>
        <w:tabs>
          <w:tab w:val="left" w:pos="1276"/>
          <w:tab w:val="left" w:pos="1701"/>
          <w:tab w:val="left" w:pos="2552"/>
        </w:tabs>
        <w:autoSpaceDE w:val="0"/>
        <w:spacing w:before="25" w:after="25"/>
        <w:ind w:firstLine="1134"/>
        <w:jc w:val="both"/>
      </w:pPr>
      <w:r w:rsidRPr="00CC5112">
        <w:t>Palyginamieji skaičiai yra koreguojami, kad atitiktų ataskaitinių metų finansinius rezultatus Apskaitos principų bei apskaitinių įverčių pasikeitimai, sudarant ataskaitinio laikotarpio finansinių ataskaitų rinkinį, pateikiami aiškinamajame rašte.</w:t>
      </w:r>
    </w:p>
    <w:p w:rsidR="00E5791B" w:rsidRPr="00CC5112" w:rsidRDefault="00E5791B" w:rsidP="00E5791B">
      <w:pPr>
        <w:tabs>
          <w:tab w:val="left" w:pos="1275"/>
          <w:tab w:val="left" w:pos="1701"/>
          <w:tab w:val="left" w:pos="2552"/>
        </w:tabs>
        <w:autoSpaceDE w:val="0"/>
        <w:spacing w:before="25" w:after="25" w:line="300" w:lineRule="auto"/>
        <w:ind w:left="567"/>
        <w:jc w:val="both"/>
      </w:pPr>
    </w:p>
    <w:p w:rsidR="00E5791B" w:rsidRPr="00CC5112" w:rsidRDefault="00E5791B" w:rsidP="00280F38">
      <w:pPr>
        <w:ind w:firstLine="1134"/>
        <w:jc w:val="both"/>
        <w:rPr>
          <w:b/>
          <w:bCs/>
        </w:rPr>
      </w:pPr>
      <w:r w:rsidRPr="00CC5112">
        <w:rPr>
          <w:b/>
          <w:bCs/>
        </w:rPr>
        <w:t xml:space="preserve">Segmentai </w:t>
      </w:r>
    </w:p>
    <w:p w:rsidR="00E5791B" w:rsidRPr="00CC5112" w:rsidRDefault="00E5791B" w:rsidP="00280F38">
      <w:pPr>
        <w:ind w:firstLine="1134"/>
        <w:jc w:val="both"/>
        <w:rPr>
          <w:b/>
          <w:bCs/>
        </w:rPr>
      </w:pPr>
    </w:p>
    <w:p w:rsidR="00E5791B" w:rsidRPr="00CC5112" w:rsidRDefault="00E5791B" w:rsidP="00280F38">
      <w:pPr>
        <w:tabs>
          <w:tab w:val="left" w:pos="1276"/>
          <w:tab w:val="left" w:pos="1701"/>
          <w:tab w:val="left" w:pos="2552"/>
        </w:tabs>
        <w:autoSpaceDE w:val="0"/>
        <w:ind w:firstLine="1134"/>
        <w:jc w:val="both"/>
      </w:pPr>
      <w:r w:rsidRPr="00CC5112">
        <w:t>Informacijos pagal segmentus pateikimo finansinėse ataskaitose reikalavimai nustatyti 25-ajame viešojo sektoriaus apskaitos ir finansinės atskaitomybės standarte „Segmentai“.</w:t>
      </w:r>
    </w:p>
    <w:p w:rsidR="00E5791B" w:rsidRPr="00CC5112" w:rsidRDefault="00E5791B" w:rsidP="00280F38">
      <w:pPr>
        <w:tabs>
          <w:tab w:val="left" w:pos="1276"/>
          <w:tab w:val="left" w:pos="1701"/>
          <w:tab w:val="left" w:pos="2552"/>
        </w:tabs>
        <w:autoSpaceDE w:val="0"/>
        <w:ind w:firstLine="1134"/>
        <w:jc w:val="both"/>
      </w:pPr>
      <w:r w:rsidRPr="00CC5112">
        <w:t xml:space="preserve">Apskaita tvarkoma pagal segmentus. Segmentai – veiklos dalys, apimančios vienarūšes teikiamas viešąsias paslaugas pagal vykdomas valstybės funkcijas, programas ir valstybės biudžetų išlaidų ekonomines klasifikacijas. </w:t>
      </w:r>
    </w:p>
    <w:p w:rsidR="00E5791B" w:rsidRPr="00CC5112" w:rsidRDefault="00E5791B" w:rsidP="00280F38">
      <w:pPr>
        <w:tabs>
          <w:tab w:val="left" w:pos="1276"/>
          <w:tab w:val="left" w:pos="1701"/>
          <w:tab w:val="left" w:pos="2693"/>
        </w:tabs>
        <w:autoSpaceDE w:val="0"/>
        <w:ind w:firstLine="1134"/>
        <w:jc w:val="both"/>
      </w:pPr>
      <w:r w:rsidRPr="00CC5112">
        <w:t>Segmentai išskiriame pagal atliekamas valstybės valdymo funkcijas:</w:t>
      </w:r>
    </w:p>
    <w:p w:rsidR="00E5791B" w:rsidRPr="00CC5112" w:rsidRDefault="00E5791B" w:rsidP="00280F38">
      <w:pPr>
        <w:numPr>
          <w:ilvl w:val="1"/>
          <w:numId w:val="11"/>
        </w:numPr>
        <w:tabs>
          <w:tab w:val="left" w:pos="1560"/>
          <w:tab w:val="left" w:pos="1701"/>
          <w:tab w:val="left" w:pos="2693"/>
        </w:tabs>
        <w:ind w:left="0" w:firstLine="1134"/>
        <w:jc w:val="both"/>
      </w:pPr>
      <w:r w:rsidRPr="00CC5112">
        <w:t>bendrųjų valstybės paslaugų;</w:t>
      </w:r>
    </w:p>
    <w:p w:rsidR="00E5791B" w:rsidRPr="00CC5112" w:rsidRDefault="00E5791B" w:rsidP="00280F38">
      <w:pPr>
        <w:numPr>
          <w:ilvl w:val="1"/>
          <w:numId w:val="11"/>
        </w:numPr>
        <w:tabs>
          <w:tab w:val="left" w:pos="1560"/>
          <w:tab w:val="left" w:pos="1701"/>
          <w:tab w:val="left" w:pos="2693"/>
        </w:tabs>
        <w:ind w:left="0" w:firstLine="1134"/>
        <w:jc w:val="both"/>
      </w:pPr>
      <w:r w:rsidRPr="00CC5112">
        <w:t>gynybos;</w:t>
      </w:r>
    </w:p>
    <w:p w:rsidR="00E5791B" w:rsidRPr="00CC5112" w:rsidRDefault="00E5791B" w:rsidP="00280F38">
      <w:pPr>
        <w:numPr>
          <w:ilvl w:val="1"/>
          <w:numId w:val="11"/>
        </w:numPr>
        <w:tabs>
          <w:tab w:val="left" w:pos="1560"/>
          <w:tab w:val="left" w:pos="1701"/>
          <w:tab w:val="left" w:pos="2693"/>
        </w:tabs>
        <w:ind w:left="0" w:firstLine="1134"/>
        <w:jc w:val="both"/>
      </w:pPr>
      <w:r w:rsidRPr="00CC5112">
        <w:t>viešosios tvarkos ir visuomenės apsaugos;</w:t>
      </w:r>
    </w:p>
    <w:p w:rsidR="00E5791B" w:rsidRPr="00CC5112" w:rsidRDefault="00E5791B" w:rsidP="00280F38">
      <w:pPr>
        <w:numPr>
          <w:ilvl w:val="1"/>
          <w:numId w:val="11"/>
        </w:numPr>
        <w:tabs>
          <w:tab w:val="left" w:pos="1560"/>
          <w:tab w:val="left" w:pos="1701"/>
          <w:tab w:val="left" w:pos="2693"/>
        </w:tabs>
        <w:ind w:left="0" w:firstLine="1134"/>
        <w:jc w:val="both"/>
      </w:pPr>
      <w:r w:rsidRPr="00CC5112">
        <w:t>ekonomikos;</w:t>
      </w:r>
    </w:p>
    <w:p w:rsidR="00E5791B" w:rsidRPr="00CC5112" w:rsidRDefault="00E5791B" w:rsidP="00280F38">
      <w:pPr>
        <w:numPr>
          <w:ilvl w:val="1"/>
          <w:numId w:val="11"/>
        </w:numPr>
        <w:tabs>
          <w:tab w:val="left" w:pos="1560"/>
          <w:tab w:val="left" w:pos="1701"/>
          <w:tab w:val="left" w:pos="2693"/>
        </w:tabs>
        <w:ind w:left="0" w:firstLine="1134"/>
        <w:jc w:val="both"/>
      </w:pPr>
      <w:r w:rsidRPr="00CC5112">
        <w:t>aplinkos apsaugos;</w:t>
      </w:r>
    </w:p>
    <w:p w:rsidR="00E5791B" w:rsidRPr="00CC5112" w:rsidRDefault="00E5791B" w:rsidP="00280F38">
      <w:pPr>
        <w:numPr>
          <w:ilvl w:val="1"/>
          <w:numId w:val="11"/>
        </w:numPr>
        <w:tabs>
          <w:tab w:val="left" w:pos="1560"/>
          <w:tab w:val="left" w:pos="1701"/>
          <w:tab w:val="left" w:pos="2693"/>
        </w:tabs>
        <w:ind w:left="0" w:firstLine="1134"/>
        <w:jc w:val="both"/>
      </w:pPr>
      <w:r w:rsidRPr="00CC5112">
        <w:t>būsto ir komunalinio ūkio;</w:t>
      </w:r>
    </w:p>
    <w:p w:rsidR="00E5791B" w:rsidRPr="00CC5112" w:rsidRDefault="00E5791B" w:rsidP="00280F38">
      <w:pPr>
        <w:numPr>
          <w:ilvl w:val="1"/>
          <w:numId w:val="11"/>
        </w:numPr>
        <w:tabs>
          <w:tab w:val="left" w:pos="1560"/>
          <w:tab w:val="left" w:pos="1701"/>
          <w:tab w:val="left" w:pos="2693"/>
        </w:tabs>
        <w:ind w:left="0" w:firstLine="1134"/>
        <w:jc w:val="both"/>
      </w:pPr>
      <w:r w:rsidRPr="00CC5112">
        <w:t>sveikatos apsaugos;</w:t>
      </w:r>
    </w:p>
    <w:p w:rsidR="00E5791B" w:rsidRPr="00CC5112" w:rsidRDefault="00E5791B" w:rsidP="00280F38">
      <w:pPr>
        <w:numPr>
          <w:ilvl w:val="1"/>
          <w:numId w:val="11"/>
        </w:numPr>
        <w:tabs>
          <w:tab w:val="left" w:pos="1560"/>
          <w:tab w:val="left" w:pos="1701"/>
          <w:tab w:val="left" w:pos="2693"/>
        </w:tabs>
        <w:ind w:left="0" w:firstLine="1134"/>
        <w:jc w:val="both"/>
      </w:pPr>
      <w:r w:rsidRPr="00CC5112">
        <w:t>poilsio, kultūros ir religijos;</w:t>
      </w:r>
    </w:p>
    <w:p w:rsidR="00E5791B" w:rsidRPr="00CC5112" w:rsidRDefault="00E5791B" w:rsidP="00280F38">
      <w:pPr>
        <w:numPr>
          <w:ilvl w:val="1"/>
          <w:numId w:val="11"/>
        </w:numPr>
        <w:tabs>
          <w:tab w:val="left" w:pos="1560"/>
          <w:tab w:val="left" w:pos="1701"/>
          <w:tab w:val="left" w:pos="2693"/>
        </w:tabs>
        <w:ind w:left="0" w:firstLine="1134"/>
        <w:jc w:val="both"/>
      </w:pPr>
      <w:r w:rsidRPr="00CC5112">
        <w:t>švietimo;</w:t>
      </w:r>
    </w:p>
    <w:p w:rsidR="00E5791B" w:rsidRPr="00CC5112" w:rsidRDefault="00E5791B" w:rsidP="00280F38">
      <w:pPr>
        <w:numPr>
          <w:ilvl w:val="1"/>
          <w:numId w:val="11"/>
        </w:numPr>
        <w:tabs>
          <w:tab w:val="left" w:pos="1560"/>
          <w:tab w:val="left" w:pos="2693"/>
        </w:tabs>
        <w:ind w:left="0" w:firstLine="1134"/>
        <w:jc w:val="both"/>
      </w:pPr>
      <w:r w:rsidRPr="00CC5112">
        <w:t xml:space="preserve"> socialinės apsaugos.</w:t>
      </w:r>
    </w:p>
    <w:p w:rsidR="00E5791B" w:rsidRPr="00CC5112" w:rsidRDefault="00E5791B" w:rsidP="00280F38">
      <w:pPr>
        <w:widowControl w:val="0"/>
        <w:shd w:val="clear" w:color="auto" w:fill="FFFFFF"/>
        <w:tabs>
          <w:tab w:val="left" w:pos="1276"/>
          <w:tab w:val="left" w:pos="1701"/>
          <w:tab w:val="left" w:pos="2693"/>
        </w:tabs>
        <w:autoSpaceDE w:val="0"/>
        <w:spacing w:before="25" w:after="25"/>
        <w:ind w:firstLine="1134"/>
        <w:jc w:val="both"/>
      </w:pPr>
      <w:r w:rsidRPr="00CC5112">
        <w:t xml:space="preserve">Turto, įsipareigojimų ir finansavimo sumų, sąnaudų ir pajamų apskaita tvarkoma pagal segmentus, t. y. taip, kad galėtų pagal segmentus teisingai užregistruoti pagrindinės veiklos sąnaudas ir pagrindinės veiklos pinigų srautus. </w:t>
      </w:r>
    </w:p>
    <w:p w:rsidR="00E5791B" w:rsidRPr="00CC5112" w:rsidRDefault="00E5791B" w:rsidP="00280F38">
      <w:pPr>
        <w:tabs>
          <w:tab w:val="left" w:pos="1276"/>
          <w:tab w:val="left" w:pos="1701"/>
          <w:tab w:val="left" w:pos="2552"/>
        </w:tabs>
        <w:spacing w:before="25" w:after="25"/>
        <w:ind w:firstLine="1134"/>
        <w:jc w:val="both"/>
      </w:pPr>
      <w:r w:rsidRPr="00CC5112">
        <w:t>Turtas, įsipareigojimai, finansavimo sumos ir sąnaudos, kurių priskyrimo prie segmento pagrindas yra neaiškus, priskiriami prie didžiausią veiklos dalį sudarančio segmento.</w:t>
      </w:r>
    </w:p>
    <w:p w:rsidR="00E5791B" w:rsidRPr="00CC5112" w:rsidRDefault="00E5791B" w:rsidP="00E5791B">
      <w:pPr>
        <w:tabs>
          <w:tab w:val="left" w:pos="1275"/>
        </w:tabs>
        <w:jc w:val="both"/>
        <w:rPr>
          <w:b/>
          <w:bCs/>
        </w:rPr>
      </w:pPr>
    </w:p>
    <w:p w:rsidR="00E5791B" w:rsidRPr="00CC5112" w:rsidRDefault="00E5791B" w:rsidP="00280F38">
      <w:pPr>
        <w:tabs>
          <w:tab w:val="left" w:pos="1276"/>
        </w:tabs>
        <w:ind w:firstLine="1134"/>
        <w:jc w:val="both"/>
        <w:rPr>
          <w:b/>
          <w:bCs/>
        </w:rPr>
      </w:pPr>
      <w:r w:rsidRPr="00CC5112">
        <w:rPr>
          <w:b/>
          <w:bCs/>
        </w:rPr>
        <w:t>Apskaitos politikos keitimas</w:t>
      </w:r>
    </w:p>
    <w:p w:rsidR="00E5791B" w:rsidRPr="00CC5112" w:rsidRDefault="00E5791B" w:rsidP="00280F38">
      <w:pPr>
        <w:tabs>
          <w:tab w:val="left" w:pos="1276"/>
        </w:tabs>
        <w:ind w:firstLine="1134"/>
        <w:jc w:val="both"/>
        <w:rPr>
          <w:b/>
          <w:bCs/>
        </w:rPr>
      </w:pPr>
    </w:p>
    <w:p w:rsidR="00E5791B" w:rsidRPr="00CC5112" w:rsidRDefault="00E5791B" w:rsidP="00280F38">
      <w:pPr>
        <w:tabs>
          <w:tab w:val="left" w:pos="1275"/>
        </w:tabs>
        <w:ind w:firstLine="1134"/>
        <w:jc w:val="both"/>
        <w:rPr>
          <w:b/>
          <w:bCs/>
        </w:rPr>
      </w:pPr>
      <w:r w:rsidRPr="00CC5112">
        <w:t>Apskaitos politika keičiama vadovaujantis 7-ajame VSAFAS nustatytais principais.</w:t>
      </w:r>
    </w:p>
    <w:p w:rsidR="00E5791B" w:rsidRPr="00CC5112" w:rsidRDefault="00E5791B" w:rsidP="00280F38">
      <w:pPr>
        <w:tabs>
          <w:tab w:val="left" w:pos="1185"/>
        </w:tabs>
        <w:ind w:firstLine="1134"/>
        <w:jc w:val="both"/>
      </w:pPr>
      <w:r w:rsidRPr="00CC5112">
        <w:t xml:space="preserve">VSS pasirinktą apskaitos politiką taiko nuolat arba gana ilgą laiką tam, kad būtų galima palyginti skirtingų ataskaitinių laikotarpių finansines ataskaitas. Tokio palyginimo reikia įstaigų finansinės būklės, veiklos rezultatų, grynojo turto ir pinigų srautų keitimosi tendencijoms nustatyti. Apskaitos politika keičiama dėl VSAFAS pasikeitimo arba jei kiti teisės aktai to reikalauja. 2017 m. gegužės 31 d. </w:t>
      </w:r>
      <w:r w:rsidRPr="00CC5112">
        <w:rPr>
          <w:rFonts w:cs="Helvetica"/>
        </w:rPr>
        <w:t xml:space="preserve">Šiaulių miesto savivaldybės direktoriaus įsakymu Nr. A-796 „Dėl Šiaulių miesto savivaldybės apskaitos tvarkos patvirtinimo“ buvo patvirtinta Šiaulių miesto savivaldybės apskaitos </w:t>
      </w:r>
      <w:r w:rsidRPr="00CC5112">
        <w:t>tvarka. Apskaitos politikos keitimas pradedamas taikyti ją pakeitus, siekiant tinkamiau parodyti įstaigų finansinę būklę, veiklos rezultatus ar pinigų srautus. Poveikis, kurį daro apskaitos politikos keitimas einamojo ataskaitinio laikotarpio informacijai ir darytų ankstesnių ataskaitinių laikotarpių informacijai, registruojamas apskaitoje tą ataskaitinį laikotarpį, kurį apskaitos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pateikiama tokia, kokia buvo, t. y. nėra koreguojama.</w:t>
      </w:r>
    </w:p>
    <w:p w:rsidR="00AA66A8" w:rsidRPr="00CC5112" w:rsidRDefault="00AA66A8" w:rsidP="00722E97">
      <w:pPr>
        <w:tabs>
          <w:tab w:val="left" w:pos="915"/>
          <w:tab w:val="left" w:pos="1275"/>
        </w:tabs>
        <w:jc w:val="both"/>
        <w:rPr>
          <w:b/>
          <w:bCs/>
        </w:rPr>
      </w:pPr>
    </w:p>
    <w:p w:rsidR="00ED5339" w:rsidRPr="00CC5112" w:rsidRDefault="00D9230A" w:rsidP="00471479">
      <w:pPr>
        <w:tabs>
          <w:tab w:val="left" w:pos="915"/>
          <w:tab w:val="left" w:pos="1275"/>
          <w:tab w:val="left" w:pos="4101"/>
        </w:tabs>
        <w:jc w:val="center"/>
        <w:rPr>
          <w:b/>
          <w:bCs/>
        </w:rPr>
      </w:pPr>
      <w:r w:rsidRPr="00CC5112">
        <w:rPr>
          <w:b/>
          <w:bCs/>
        </w:rPr>
        <w:t xml:space="preserve">III.  </w:t>
      </w:r>
      <w:r w:rsidR="00ED5339" w:rsidRPr="00CC5112">
        <w:rPr>
          <w:b/>
          <w:bCs/>
        </w:rPr>
        <w:t>PASTABOS</w:t>
      </w:r>
    </w:p>
    <w:p w:rsidR="00ED5339" w:rsidRPr="00CC5112" w:rsidRDefault="00ED5339" w:rsidP="00ED5339">
      <w:pPr>
        <w:tabs>
          <w:tab w:val="left" w:pos="915"/>
          <w:tab w:val="left" w:pos="1275"/>
          <w:tab w:val="left" w:pos="4101"/>
        </w:tabs>
        <w:rPr>
          <w:b/>
          <w:bCs/>
        </w:rPr>
      </w:pPr>
    </w:p>
    <w:p w:rsidR="00ED5339" w:rsidRPr="00CC5112" w:rsidRDefault="00ED5339" w:rsidP="00280F38">
      <w:pPr>
        <w:tabs>
          <w:tab w:val="left" w:pos="915"/>
          <w:tab w:val="left" w:pos="1275"/>
          <w:tab w:val="left" w:pos="4101"/>
        </w:tabs>
        <w:ind w:firstLine="1134"/>
        <w:rPr>
          <w:b/>
          <w:bCs/>
        </w:rPr>
      </w:pPr>
      <w:r w:rsidRPr="00CC5112">
        <w:rPr>
          <w:b/>
          <w:bCs/>
        </w:rPr>
        <w:t>1. Nematerialusis turtas (NT), pastaba Nr. P03.</w:t>
      </w:r>
      <w:r w:rsidRPr="00CC5112">
        <w:t xml:space="preserve"> Informacija apie NT balansinės vertės pasikeitimą pateikta šio aiškinamojo rašto priede Nr. P3.</w:t>
      </w:r>
      <w:r w:rsidRPr="00CC5112">
        <w:rPr>
          <w:b/>
          <w:bCs/>
        </w:rPr>
        <w:t xml:space="preserve"> </w:t>
      </w:r>
    </w:p>
    <w:p w:rsidR="00ED5339" w:rsidRPr="00CC5112" w:rsidRDefault="00ED5339" w:rsidP="00280F38">
      <w:pPr>
        <w:tabs>
          <w:tab w:val="left" w:pos="915"/>
          <w:tab w:val="left" w:pos="1275"/>
        </w:tabs>
        <w:ind w:firstLine="1134"/>
        <w:jc w:val="both"/>
        <w:rPr>
          <w:bCs/>
        </w:rPr>
      </w:pPr>
      <w:r w:rsidRPr="00CC5112">
        <w:rPr>
          <w:bCs/>
        </w:rPr>
        <w:t>Didžiąją dalį</w:t>
      </w:r>
      <w:r w:rsidR="00DE67DF" w:rsidRPr="00CC5112">
        <w:rPr>
          <w:bCs/>
        </w:rPr>
        <w:t xml:space="preserve"> turimo</w:t>
      </w:r>
      <w:r w:rsidRPr="00CC5112">
        <w:rPr>
          <w:bCs/>
        </w:rPr>
        <w:t xml:space="preserve"> NT sudaro kitas nematerialusis turtas  </w:t>
      </w:r>
      <w:r w:rsidRPr="00CC5112">
        <w:t>– 3</w:t>
      </w:r>
      <w:r w:rsidR="00631074" w:rsidRPr="00CC5112">
        <w:t>5</w:t>
      </w:r>
      <w:r w:rsidRPr="00CC5112">
        <w:t>4,7</w:t>
      </w:r>
      <w:r w:rsidR="00631074" w:rsidRPr="00CC5112">
        <w:t>7</w:t>
      </w:r>
      <w:r w:rsidRPr="00CC5112">
        <w:rPr>
          <w:bCs/>
        </w:rPr>
        <w:t xml:space="preserve"> tūkst. Eur.</w:t>
      </w:r>
    </w:p>
    <w:p w:rsidR="00CB39C3" w:rsidRPr="00CC5112" w:rsidRDefault="00ED5339" w:rsidP="00280F38">
      <w:pPr>
        <w:tabs>
          <w:tab w:val="left" w:pos="915"/>
          <w:tab w:val="left" w:pos="1275"/>
        </w:tabs>
        <w:ind w:firstLine="1134"/>
        <w:jc w:val="both"/>
      </w:pPr>
      <w:r w:rsidRPr="00CC5112">
        <w:rPr>
          <w:bCs/>
        </w:rPr>
        <w:t xml:space="preserve">Programinė įranga ir jos licencijos </w:t>
      </w:r>
      <w:r w:rsidRPr="00CC5112">
        <w:t xml:space="preserve">– </w:t>
      </w:r>
      <w:r w:rsidR="00631074" w:rsidRPr="00CC5112">
        <w:t>89</w:t>
      </w:r>
      <w:r w:rsidRPr="00CC5112">
        <w:t>,</w:t>
      </w:r>
      <w:r w:rsidR="00631074" w:rsidRPr="00CC5112">
        <w:t>19</w:t>
      </w:r>
      <w:r w:rsidRPr="00CC5112">
        <w:t xml:space="preserve"> tūkst. Eur. </w:t>
      </w:r>
    </w:p>
    <w:p w:rsidR="00ED5339" w:rsidRPr="00CC5112" w:rsidRDefault="00CB39C3" w:rsidP="00280F38">
      <w:pPr>
        <w:tabs>
          <w:tab w:val="left" w:pos="915"/>
          <w:tab w:val="left" w:pos="1275"/>
        </w:tabs>
        <w:ind w:firstLine="1134"/>
        <w:jc w:val="both"/>
        <w:rPr>
          <w:bCs/>
        </w:rPr>
      </w:pPr>
      <w:r w:rsidRPr="00CC5112">
        <w:t xml:space="preserve">Išankstiniai mokėjimai už </w:t>
      </w:r>
      <w:r w:rsidR="00DE67DF" w:rsidRPr="00CC5112">
        <w:t>NT</w:t>
      </w:r>
      <w:r w:rsidRPr="00CC5112">
        <w:t xml:space="preserve"> – 1,15 tūkst. Eur.</w:t>
      </w:r>
    </w:p>
    <w:p w:rsidR="00ED5339" w:rsidRPr="00CC5112" w:rsidRDefault="00ED5339" w:rsidP="00280F38">
      <w:pPr>
        <w:tabs>
          <w:tab w:val="left" w:pos="915"/>
          <w:tab w:val="left" w:pos="1275"/>
        </w:tabs>
        <w:ind w:firstLine="1134"/>
        <w:jc w:val="both"/>
      </w:pPr>
      <w:r w:rsidRPr="00CC5112">
        <w:t>Ataskaitinio laikotarpio pabaigoje NT likutinė vertė lyginant su 201</w:t>
      </w:r>
      <w:r w:rsidR="00631074" w:rsidRPr="00CC5112">
        <w:t>6</w:t>
      </w:r>
      <w:r w:rsidRPr="00CC5112">
        <w:t xml:space="preserve"> metais sumažėjo </w:t>
      </w:r>
      <w:r w:rsidR="008A0ED3" w:rsidRPr="00CC5112">
        <w:t>36,66</w:t>
      </w:r>
      <w:r w:rsidRPr="00CC5112">
        <w:t xml:space="preserve"> tūkst. Eur.</w:t>
      </w:r>
      <w:r w:rsidR="00CB39C3" w:rsidRPr="00CC5112">
        <w:t xml:space="preserve"> N</w:t>
      </w:r>
      <w:r w:rsidRPr="00CC5112">
        <w:t>urašyta programinės įrangos ir jų licencijų</w:t>
      </w:r>
      <w:r w:rsidR="008A0ED3" w:rsidRPr="00CC5112">
        <w:t xml:space="preserve"> už 2,97 tūkst. Eur</w:t>
      </w:r>
      <w:r w:rsidR="00CB39C3" w:rsidRPr="00CC5112">
        <w:t xml:space="preserve">, kurių įsigijimo vertė </w:t>
      </w:r>
      <w:r w:rsidR="008A0ED3" w:rsidRPr="00CC5112">
        <w:t xml:space="preserve">– 24,91 tūkst. Eur, </w:t>
      </w:r>
      <w:r w:rsidR="00782BFE" w:rsidRPr="00CC5112">
        <w:t>amortizacija</w:t>
      </w:r>
      <w:r w:rsidR="008A0ED3" w:rsidRPr="00CC5112">
        <w:t xml:space="preserve"> –</w:t>
      </w:r>
      <w:r w:rsidR="00CB39C3" w:rsidRPr="00CC5112">
        <w:t xml:space="preserve"> </w:t>
      </w:r>
      <w:r w:rsidR="008A0ED3" w:rsidRPr="00CC5112">
        <w:t>21,94</w:t>
      </w:r>
      <w:r w:rsidR="00782BFE" w:rsidRPr="00CC5112">
        <w:t xml:space="preserve"> tūkst. Eur.</w:t>
      </w:r>
      <w:r w:rsidRPr="00CC5112">
        <w:t xml:space="preserve"> </w:t>
      </w:r>
      <w:r w:rsidR="00782BFE" w:rsidRPr="00CC5112">
        <w:t>N</w:t>
      </w:r>
      <w:r w:rsidRPr="00CC5112">
        <w:t>urašyt</w:t>
      </w:r>
      <w:r w:rsidR="002B6C71" w:rsidRPr="00CC5112">
        <w:t>a</w:t>
      </w:r>
      <w:r w:rsidRPr="00CC5112">
        <w:t xml:space="preserve"> kito </w:t>
      </w:r>
      <w:r w:rsidR="00DE67DF" w:rsidRPr="00CC5112">
        <w:t>nebetinkamo naudoti</w:t>
      </w:r>
      <w:r w:rsidR="008A0ED3" w:rsidRPr="00CC5112">
        <w:t xml:space="preserve"> </w:t>
      </w:r>
      <w:r w:rsidR="00DE67DF" w:rsidRPr="00CC5112">
        <w:t>NT</w:t>
      </w:r>
      <w:r w:rsidRPr="00CC5112">
        <w:t xml:space="preserve"> </w:t>
      </w:r>
      <w:r w:rsidR="008A0ED3" w:rsidRPr="00CC5112">
        <w:t xml:space="preserve">kurio likutinė vertė 0,00 tūkst. Eur, įsigijimo vertė </w:t>
      </w:r>
      <w:r w:rsidR="00DE67DF" w:rsidRPr="00CC5112">
        <w:t xml:space="preserve">– 47,39 tūkst. Eur, </w:t>
      </w:r>
      <w:r w:rsidR="00782BFE" w:rsidRPr="00CC5112">
        <w:t>amortizacija</w:t>
      </w:r>
      <w:r w:rsidR="008A0ED3" w:rsidRPr="00CC5112">
        <w:t xml:space="preserve"> –</w:t>
      </w:r>
      <w:r w:rsidRPr="00CC5112">
        <w:t xml:space="preserve"> </w:t>
      </w:r>
      <w:r w:rsidR="00631074" w:rsidRPr="00CC5112">
        <w:t>47,39</w:t>
      </w:r>
      <w:r w:rsidRPr="00CC5112">
        <w:t xml:space="preserve"> tūkst. Eur</w:t>
      </w:r>
      <w:r w:rsidR="008A0ED3" w:rsidRPr="00CC5112">
        <w:t>.</w:t>
      </w:r>
      <w:r w:rsidRPr="00CC5112">
        <w:t xml:space="preserve"> </w:t>
      </w:r>
      <w:r w:rsidR="008A0ED3" w:rsidRPr="00CC5112">
        <w:t>P</w:t>
      </w:r>
      <w:r w:rsidRPr="00CC5112">
        <w:t>riskaiči</w:t>
      </w:r>
      <w:r w:rsidR="002B6C71" w:rsidRPr="00CC5112">
        <w:t>uota</w:t>
      </w:r>
      <w:r w:rsidRPr="00CC5112">
        <w:t xml:space="preserve"> </w:t>
      </w:r>
      <w:r w:rsidR="008A0ED3" w:rsidRPr="00CC5112">
        <w:t>amortizacijos</w:t>
      </w:r>
      <w:r w:rsidR="00DE67DF" w:rsidRPr="00CC5112">
        <w:t xml:space="preserve"> </w:t>
      </w:r>
      <w:r w:rsidR="008A0ED3" w:rsidRPr="00CC5112">
        <w:t>– 245,</w:t>
      </w:r>
      <w:r w:rsidR="00782BFE" w:rsidRPr="00CC5112">
        <w:t>51</w:t>
      </w:r>
      <w:r w:rsidR="008A0ED3" w:rsidRPr="00CC5112">
        <w:t xml:space="preserve"> tūkst. Eur.</w:t>
      </w:r>
      <w:r w:rsidRPr="00CC5112">
        <w:t xml:space="preserve"> </w:t>
      </w:r>
      <w:r w:rsidR="002A23D5" w:rsidRPr="00CC5112">
        <w:t>P</w:t>
      </w:r>
      <w:r w:rsidRPr="00CC5112">
        <w:t xml:space="preserve">irktas </w:t>
      </w:r>
      <w:r w:rsidR="00DE67DF" w:rsidRPr="00CC5112">
        <w:t>NT</w:t>
      </w:r>
      <w:r w:rsidRPr="00CC5112">
        <w:t xml:space="preserve"> – </w:t>
      </w:r>
      <w:r w:rsidR="00631074" w:rsidRPr="00CC5112">
        <w:t>302,0</w:t>
      </w:r>
      <w:r w:rsidR="00DE67DF" w:rsidRPr="00CC5112">
        <w:t>4</w:t>
      </w:r>
      <w:r w:rsidR="002A23D5" w:rsidRPr="00CC5112">
        <w:t xml:space="preserve"> tūkst. Eur</w:t>
      </w:r>
      <w:r w:rsidR="00257953" w:rsidRPr="00CC5112">
        <w:t xml:space="preserve">: Programinė įranga ir jos licencijos – 87,98 tūkst. Eur, kitas </w:t>
      </w:r>
      <w:r w:rsidR="00DE67DF" w:rsidRPr="00CC5112">
        <w:t xml:space="preserve">nematerialusis turtas </w:t>
      </w:r>
      <w:r w:rsidR="00257953" w:rsidRPr="00CC5112">
        <w:t xml:space="preserve">– 212,90 tūkst. Eur, </w:t>
      </w:r>
      <w:r w:rsidR="008A0ED3" w:rsidRPr="00CC5112">
        <w:t xml:space="preserve">išankstiniai mokėjimai už </w:t>
      </w:r>
      <w:r w:rsidR="00DE67DF" w:rsidRPr="00CC5112">
        <w:t>NT</w:t>
      </w:r>
      <w:r w:rsidR="008A0ED3" w:rsidRPr="00CC5112">
        <w:t xml:space="preserve"> – 1,15 tūkst. Eur.</w:t>
      </w:r>
      <w:r w:rsidR="00782BFE" w:rsidRPr="00CC5112">
        <w:t xml:space="preserve"> Pergrupuota į kitas turto grupes – 16,90 tūkst. Eur</w:t>
      </w:r>
      <w:r w:rsidR="00D45D93" w:rsidRPr="00CC5112">
        <w:t>.</w:t>
      </w:r>
    </w:p>
    <w:p w:rsidR="00ED5339" w:rsidRPr="00CC5112" w:rsidRDefault="00666D25" w:rsidP="00280F38">
      <w:pPr>
        <w:tabs>
          <w:tab w:val="left" w:pos="915"/>
          <w:tab w:val="left" w:pos="1275"/>
        </w:tabs>
        <w:ind w:left="360" w:firstLine="1134"/>
        <w:jc w:val="both"/>
        <w:rPr>
          <w:b/>
          <w:bCs/>
        </w:rPr>
      </w:pPr>
      <w:r w:rsidRPr="00CC5112">
        <w:rPr>
          <w:b/>
          <w:bCs/>
        </w:rPr>
        <w:tab/>
      </w:r>
    </w:p>
    <w:p w:rsidR="002A23D5" w:rsidRPr="00CC5112" w:rsidRDefault="002A23D5" w:rsidP="00280F38">
      <w:pPr>
        <w:tabs>
          <w:tab w:val="left" w:pos="915"/>
          <w:tab w:val="left" w:pos="1275"/>
        </w:tabs>
        <w:ind w:firstLine="1134"/>
        <w:jc w:val="both"/>
        <w:rPr>
          <w:b/>
          <w:bCs/>
        </w:rPr>
      </w:pPr>
      <w:r w:rsidRPr="00CC5112">
        <w:rPr>
          <w:b/>
          <w:bCs/>
        </w:rPr>
        <w:t>2. Ilgalaikis materialusis turtas (IMT), pastaba Nr. P04.</w:t>
      </w:r>
      <w:r w:rsidRPr="00CC5112">
        <w:t xml:space="preserve"> Informacija apie IMT balansinės vertės pasikeitimą per ataskaitinį laikotarpį pateikta šio aiškinamojo rašto priede Nr. P4.</w:t>
      </w:r>
      <w:r w:rsidRPr="00CC5112">
        <w:rPr>
          <w:b/>
          <w:bCs/>
        </w:rPr>
        <w:t xml:space="preserve"> </w:t>
      </w:r>
    </w:p>
    <w:p w:rsidR="002A23D5" w:rsidRPr="00CC5112" w:rsidRDefault="002A23D5" w:rsidP="00280F38">
      <w:pPr>
        <w:tabs>
          <w:tab w:val="left" w:pos="915"/>
          <w:tab w:val="left" w:pos="1275"/>
        </w:tabs>
        <w:ind w:firstLine="1134"/>
        <w:jc w:val="both"/>
      </w:pPr>
      <w:r w:rsidRPr="00CC5112">
        <w:t xml:space="preserve">IMT likutinė vertė ataskaitinio laikotarpio pabaigoje – </w:t>
      </w:r>
      <w:r w:rsidR="00C51F7A" w:rsidRPr="00CC5112">
        <w:t>156138,76</w:t>
      </w:r>
      <w:r w:rsidRPr="00CC5112">
        <w:t xml:space="preserve"> tūkst. Eur. IMT likutinė vertė, lyginant su praėjusiu ataskaitiniu, laikotarpiu padidėjo – </w:t>
      </w:r>
      <w:r w:rsidR="00C51F7A" w:rsidRPr="00CC5112">
        <w:t>16185,99</w:t>
      </w:r>
      <w:r w:rsidRPr="00CC5112">
        <w:t xml:space="preserve"> tūkst. Eur. Didžiąją turto dalį sudaro pastatai – </w:t>
      </w:r>
      <w:r w:rsidR="00C51F7A" w:rsidRPr="00CC5112">
        <w:t>71014,92</w:t>
      </w:r>
      <w:r w:rsidRPr="00CC5112">
        <w:t xml:space="preserve"> tūkst. Eur ir infrastruktūros ir kiti statiniai </w:t>
      </w:r>
      <w:r w:rsidR="008469ED" w:rsidRPr="00CC5112">
        <w:t xml:space="preserve">– </w:t>
      </w:r>
      <w:r w:rsidR="00C51F7A" w:rsidRPr="00CC5112">
        <w:t>48522,67</w:t>
      </w:r>
      <w:r w:rsidRPr="00CC5112">
        <w:t xml:space="preserve"> tūkst. Eur. Žemės vertė padidėjo </w:t>
      </w:r>
      <w:r w:rsidR="00C51F7A" w:rsidRPr="00CC5112">
        <w:t>1648,97</w:t>
      </w:r>
      <w:r w:rsidRPr="00CC5112">
        <w:t xml:space="preserve"> tūkst. Eur dėl tikrosios vertės pasikeitimo. </w:t>
      </w:r>
    </w:p>
    <w:p w:rsidR="00D603CF" w:rsidRPr="00CC5112" w:rsidRDefault="002A23D5" w:rsidP="00280F38">
      <w:pPr>
        <w:tabs>
          <w:tab w:val="left" w:pos="915"/>
          <w:tab w:val="left" w:pos="1275"/>
        </w:tabs>
        <w:ind w:firstLine="1134"/>
        <w:jc w:val="both"/>
      </w:pPr>
      <w:r w:rsidRPr="00CC5112">
        <w:t xml:space="preserve">Pastatų vertė </w:t>
      </w:r>
      <w:r w:rsidR="00C51F7A" w:rsidRPr="00CC5112">
        <w:t>padidėjo</w:t>
      </w:r>
      <w:r w:rsidRPr="00CC5112">
        <w:t xml:space="preserve"> </w:t>
      </w:r>
      <w:r w:rsidR="00C51F7A" w:rsidRPr="00CC5112">
        <w:t>2480,08</w:t>
      </w:r>
      <w:r w:rsidRPr="00CC5112">
        <w:t xml:space="preserve"> tūkst. Eur. Paskaičiuotas pastatų nusidėvėjimas – </w:t>
      </w:r>
      <w:r w:rsidR="00C51F7A" w:rsidRPr="00CC5112">
        <w:t>1065,44</w:t>
      </w:r>
      <w:r w:rsidRPr="00CC5112">
        <w:t xml:space="preserve"> tūkst. Eur. Nurašyta pastatų už </w:t>
      </w:r>
      <w:r w:rsidR="00C51F7A" w:rsidRPr="00CC5112">
        <w:t>172,7</w:t>
      </w:r>
      <w:r w:rsidRPr="00CC5112">
        <w:t xml:space="preserve"> tūkst. Eur. Pastatų nuvertėjimas – </w:t>
      </w:r>
      <w:r w:rsidR="00C51F7A" w:rsidRPr="00CC5112">
        <w:t>50,84</w:t>
      </w:r>
      <w:r w:rsidRPr="00CC5112">
        <w:t xml:space="preserve"> tūkst. Eur. Pirkta pastatų už </w:t>
      </w:r>
      <w:r w:rsidR="00C51F7A" w:rsidRPr="00CC5112">
        <w:t>1341,22</w:t>
      </w:r>
      <w:r w:rsidRPr="00CC5112">
        <w:t xml:space="preserve"> tūkst. Eur. Neatlygintinai gaut</w:t>
      </w:r>
      <w:r w:rsidR="00C51F7A" w:rsidRPr="00CC5112">
        <w:t xml:space="preserve">ų pastatų nebuvo. </w:t>
      </w:r>
      <w:r w:rsidR="00174E5D" w:rsidRPr="00CC5112">
        <w:t xml:space="preserve">Nupirkta butų už 439,74 tūkst. Eur. </w:t>
      </w:r>
      <w:r w:rsidR="008F14CF" w:rsidRPr="00CC5112">
        <w:t xml:space="preserve">Dėl VSS atliktų pastatų </w:t>
      </w:r>
      <w:r w:rsidR="002E3717" w:rsidRPr="00CC5112">
        <w:t xml:space="preserve">statybos ir renovacijos, </w:t>
      </w:r>
      <w:r w:rsidR="008F14CF" w:rsidRPr="00CC5112">
        <w:t xml:space="preserve">remonto darbų padidinta pastatų vertė. </w:t>
      </w:r>
      <w:r w:rsidRPr="00CC5112">
        <w:t xml:space="preserve">Savivaldybės administracija perkėlė iš nebaigtos statybos sąskaitos į pastatų sąskaitą turto už </w:t>
      </w:r>
      <w:r w:rsidR="001377EF" w:rsidRPr="00CC5112">
        <w:t>1090,9</w:t>
      </w:r>
      <w:r w:rsidR="00B41104" w:rsidRPr="00CC5112">
        <w:t xml:space="preserve"> tūkst. Eur, į kitas</w:t>
      </w:r>
      <w:r w:rsidR="00E7746E" w:rsidRPr="00CC5112">
        <w:t xml:space="preserve"> turto grupes </w:t>
      </w:r>
      <w:r w:rsidR="008469ED" w:rsidRPr="00CC5112">
        <w:t xml:space="preserve">– </w:t>
      </w:r>
      <w:r w:rsidR="00E7746E" w:rsidRPr="00CC5112">
        <w:t>84,58 tūkst. Eur.</w:t>
      </w:r>
      <w:r w:rsidR="001377EF" w:rsidRPr="00CC5112">
        <w:t xml:space="preserve"> </w:t>
      </w:r>
      <w:r w:rsidR="00E7746E" w:rsidRPr="00CC5112">
        <w:t>K</w:t>
      </w:r>
      <w:r w:rsidRPr="00CC5112">
        <w:t>iti VSS perkėlė iš nebaigtos statybos į pastatų grupę</w:t>
      </w:r>
      <w:r w:rsidR="001377EF" w:rsidRPr="00CC5112">
        <w:t xml:space="preserve"> </w:t>
      </w:r>
      <w:r w:rsidR="008469ED" w:rsidRPr="00CC5112">
        <w:t xml:space="preserve">– </w:t>
      </w:r>
      <w:r w:rsidR="001377EF" w:rsidRPr="00CC5112">
        <w:t>985,02 tūkst. Eur</w:t>
      </w:r>
      <w:r w:rsidRPr="00CC5112">
        <w:t>:</w:t>
      </w:r>
      <w:r w:rsidR="001377EF" w:rsidRPr="00CC5112">
        <w:t xml:space="preserve"> Lopšelis-darželis „Bangelė“ </w:t>
      </w:r>
      <w:r w:rsidR="008469ED" w:rsidRPr="00CC5112">
        <w:t xml:space="preserve">– </w:t>
      </w:r>
      <w:r w:rsidR="001377EF" w:rsidRPr="00CC5112">
        <w:t>32</w:t>
      </w:r>
      <w:r w:rsidR="00E7746E" w:rsidRPr="00CC5112">
        <w:t>,</w:t>
      </w:r>
      <w:r w:rsidR="001377EF" w:rsidRPr="00CC5112">
        <w:t xml:space="preserve">02 </w:t>
      </w:r>
      <w:r w:rsidR="00E7746E" w:rsidRPr="00CC5112">
        <w:t xml:space="preserve">tūkst. </w:t>
      </w:r>
      <w:r w:rsidR="001377EF" w:rsidRPr="00CC5112">
        <w:t xml:space="preserve">Eur, </w:t>
      </w:r>
      <w:r w:rsidR="00F1768F" w:rsidRPr="00CC5112">
        <w:t xml:space="preserve">Lopšelis-darželis </w:t>
      </w:r>
      <w:r w:rsidR="001377EF" w:rsidRPr="00CC5112">
        <w:t xml:space="preserve">„Pušelė“ </w:t>
      </w:r>
      <w:r w:rsidR="008469ED" w:rsidRPr="00CC5112">
        <w:t xml:space="preserve">– </w:t>
      </w:r>
      <w:r w:rsidR="001377EF" w:rsidRPr="00CC5112">
        <w:t>24</w:t>
      </w:r>
      <w:r w:rsidR="00E7746E" w:rsidRPr="00CC5112">
        <w:t>,</w:t>
      </w:r>
      <w:r w:rsidR="001377EF" w:rsidRPr="00CC5112">
        <w:t>23</w:t>
      </w:r>
      <w:r w:rsidR="00E7746E" w:rsidRPr="00CC5112">
        <w:t xml:space="preserve"> tūkst. </w:t>
      </w:r>
      <w:r w:rsidR="001377EF" w:rsidRPr="00CC5112">
        <w:t xml:space="preserve">Eur, </w:t>
      </w:r>
      <w:r w:rsidR="00F1768F" w:rsidRPr="00CC5112">
        <w:t xml:space="preserve">Lopšelis-darželis </w:t>
      </w:r>
      <w:r w:rsidR="001377EF" w:rsidRPr="00CC5112">
        <w:t xml:space="preserve">„Coliukė“ </w:t>
      </w:r>
      <w:r w:rsidR="008469ED" w:rsidRPr="00CC5112">
        <w:t xml:space="preserve">– </w:t>
      </w:r>
      <w:r w:rsidR="001377EF" w:rsidRPr="00CC5112">
        <w:t>33</w:t>
      </w:r>
      <w:r w:rsidR="00E7746E" w:rsidRPr="00CC5112">
        <w:t>,</w:t>
      </w:r>
      <w:r w:rsidR="001377EF" w:rsidRPr="00CC5112">
        <w:t>75</w:t>
      </w:r>
      <w:r w:rsidR="00E7746E" w:rsidRPr="00CC5112">
        <w:t xml:space="preserve"> tūkst.</w:t>
      </w:r>
      <w:r w:rsidR="001377EF" w:rsidRPr="00CC5112">
        <w:t xml:space="preserve"> Eur, </w:t>
      </w:r>
      <w:r w:rsidR="00F1768F" w:rsidRPr="00CC5112">
        <w:t xml:space="preserve">Lopšelis-darželis </w:t>
      </w:r>
      <w:r w:rsidR="001377EF" w:rsidRPr="00CC5112">
        <w:t xml:space="preserve">„Salduvė“ </w:t>
      </w:r>
      <w:r w:rsidR="008469ED" w:rsidRPr="00CC5112">
        <w:t xml:space="preserve">– </w:t>
      </w:r>
      <w:r w:rsidR="001377EF" w:rsidRPr="00CC5112">
        <w:t>90</w:t>
      </w:r>
      <w:r w:rsidR="00E7746E" w:rsidRPr="00CC5112">
        <w:t>,04 tūkst. E</w:t>
      </w:r>
      <w:r w:rsidR="001377EF" w:rsidRPr="00CC5112">
        <w:t xml:space="preserve">ur, </w:t>
      </w:r>
      <w:r w:rsidR="00F1768F" w:rsidRPr="00CC5112">
        <w:t xml:space="preserve">Lopšelis-darželis </w:t>
      </w:r>
      <w:r w:rsidR="001377EF" w:rsidRPr="00CC5112">
        <w:t xml:space="preserve">„Gluosnis“ </w:t>
      </w:r>
      <w:r w:rsidR="008469ED" w:rsidRPr="00CC5112">
        <w:t xml:space="preserve">– </w:t>
      </w:r>
      <w:r w:rsidR="001377EF" w:rsidRPr="00CC5112">
        <w:t>66</w:t>
      </w:r>
      <w:r w:rsidR="00E7746E" w:rsidRPr="00CC5112">
        <w:t>,23 tūkst. E</w:t>
      </w:r>
      <w:r w:rsidR="001377EF" w:rsidRPr="00CC5112">
        <w:t xml:space="preserve">ur, Šiaulių specialiojo ugdymo centras </w:t>
      </w:r>
      <w:r w:rsidR="008469ED" w:rsidRPr="00CC5112">
        <w:t xml:space="preserve">– </w:t>
      </w:r>
      <w:r w:rsidR="001377EF" w:rsidRPr="00CC5112">
        <w:t>86</w:t>
      </w:r>
      <w:r w:rsidR="00E7746E" w:rsidRPr="00CC5112">
        <w:t>,</w:t>
      </w:r>
      <w:r w:rsidR="001377EF" w:rsidRPr="00CC5112">
        <w:t>87</w:t>
      </w:r>
      <w:r w:rsidR="00E7746E" w:rsidRPr="00CC5112">
        <w:t xml:space="preserve"> tūkst. Eur</w:t>
      </w:r>
      <w:r w:rsidR="001377EF" w:rsidRPr="00CC5112">
        <w:t xml:space="preserve">, </w:t>
      </w:r>
      <w:r w:rsidR="00F1768F" w:rsidRPr="00CC5112">
        <w:t xml:space="preserve">Lopšelis-darželis </w:t>
      </w:r>
      <w:r w:rsidR="001377EF" w:rsidRPr="00CC5112">
        <w:t xml:space="preserve">„Berželis“ </w:t>
      </w:r>
      <w:r w:rsidR="008469ED" w:rsidRPr="00CC5112">
        <w:t xml:space="preserve">– </w:t>
      </w:r>
      <w:r w:rsidR="001377EF" w:rsidRPr="00CC5112">
        <w:t>55</w:t>
      </w:r>
      <w:r w:rsidR="00E7746E" w:rsidRPr="00CC5112">
        <w:t>,</w:t>
      </w:r>
      <w:r w:rsidR="001377EF" w:rsidRPr="00CC5112">
        <w:t>16</w:t>
      </w:r>
      <w:r w:rsidR="00E7746E" w:rsidRPr="00CC5112">
        <w:t xml:space="preserve"> tūkst. Eur</w:t>
      </w:r>
      <w:r w:rsidR="001377EF" w:rsidRPr="00CC5112">
        <w:t xml:space="preserve">, </w:t>
      </w:r>
      <w:r w:rsidR="00F1768F" w:rsidRPr="00CC5112">
        <w:t xml:space="preserve">Lopšelis-darželis </w:t>
      </w:r>
      <w:r w:rsidR="001377EF" w:rsidRPr="00CC5112">
        <w:t xml:space="preserve">„Žiogelis“ </w:t>
      </w:r>
      <w:r w:rsidR="008469ED" w:rsidRPr="00CC5112">
        <w:t xml:space="preserve">– </w:t>
      </w:r>
      <w:r w:rsidR="001377EF" w:rsidRPr="00CC5112">
        <w:t>84</w:t>
      </w:r>
      <w:r w:rsidR="00E7746E" w:rsidRPr="00CC5112">
        <w:t>,</w:t>
      </w:r>
      <w:r w:rsidR="001377EF" w:rsidRPr="00CC5112">
        <w:t>65</w:t>
      </w:r>
      <w:r w:rsidR="00E7746E" w:rsidRPr="00CC5112">
        <w:t xml:space="preserve"> tūkst. Eur</w:t>
      </w:r>
      <w:r w:rsidR="001377EF" w:rsidRPr="00CC5112">
        <w:t xml:space="preserve">, </w:t>
      </w:r>
      <w:r w:rsidR="00F1768F" w:rsidRPr="00CC5112">
        <w:t xml:space="preserve">Lopšelis-darželis </w:t>
      </w:r>
      <w:r w:rsidR="001377EF" w:rsidRPr="00CC5112">
        <w:t xml:space="preserve">„Eglutė“ </w:t>
      </w:r>
      <w:r w:rsidR="008469ED" w:rsidRPr="00CC5112">
        <w:t xml:space="preserve">– </w:t>
      </w:r>
      <w:r w:rsidR="001377EF" w:rsidRPr="00CC5112">
        <w:t>93</w:t>
      </w:r>
      <w:r w:rsidR="00E7746E" w:rsidRPr="00CC5112">
        <w:t>,81 tūkst. Eur</w:t>
      </w:r>
      <w:r w:rsidR="001377EF" w:rsidRPr="00CC5112">
        <w:t xml:space="preserve">, Šiaulių Juliaus Janonio gimnazija </w:t>
      </w:r>
      <w:r w:rsidR="008469ED" w:rsidRPr="00CC5112">
        <w:t xml:space="preserve">– </w:t>
      </w:r>
      <w:r w:rsidR="001377EF" w:rsidRPr="00CC5112">
        <w:t>291</w:t>
      </w:r>
      <w:r w:rsidR="00E7746E" w:rsidRPr="00CC5112">
        <w:t>,6</w:t>
      </w:r>
      <w:r w:rsidR="001377EF" w:rsidRPr="00CC5112">
        <w:t>8</w:t>
      </w:r>
      <w:r w:rsidR="00E7746E" w:rsidRPr="00CC5112">
        <w:t xml:space="preserve"> tūkst. Eur</w:t>
      </w:r>
      <w:r w:rsidR="001377EF" w:rsidRPr="00CC5112">
        <w:t xml:space="preserve">, Šiaulių sanatorinė mokykla </w:t>
      </w:r>
      <w:r w:rsidR="008469ED" w:rsidRPr="00CC5112">
        <w:t xml:space="preserve">– </w:t>
      </w:r>
      <w:r w:rsidR="001377EF" w:rsidRPr="00CC5112">
        <w:t>413</w:t>
      </w:r>
      <w:r w:rsidR="00E7746E" w:rsidRPr="00CC5112">
        <w:t xml:space="preserve">,01 tūkst. </w:t>
      </w:r>
      <w:r w:rsidR="001377EF" w:rsidRPr="00CC5112">
        <w:t xml:space="preserve">Eur, Šiaulių sporto gimnazija </w:t>
      </w:r>
      <w:r w:rsidR="008469ED" w:rsidRPr="00CC5112">
        <w:t xml:space="preserve">– </w:t>
      </w:r>
      <w:r w:rsidR="001377EF" w:rsidRPr="00CC5112">
        <w:t>19</w:t>
      </w:r>
      <w:r w:rsidR="00E7746E" w:rsidRPr="00CC5112">
        <w:t>,</w:t>
      </w:r>
      <w:r w:rsidR="001377EF" w:rsidRPr="00CC5112">
        <w:t>66</w:t>
      </w:r>
      <w:r w:rsidR="00E7746E" w:rsidRPr="00CC5112">
        <w:t xml:space="preserve"> tūkst. </w:t>
      </w:r>
      <w:r w:rsidR="001377EF" w:rsidRPr="00CC5112">
        <w:t>Eur</w:t>
      </w:r>
      <w:r w:rsidR="00F1768F" w:rsidRPr="00CC5112">
        <w:t xml:space="preserve">. </w:t>
      </w:r>
    </w:p>
    <w:p w:rsidR="002A23D5" w:rsidRPr="00CC5112" w:rsidRDefault="002A23D5" w:rsidP="00280F38">
      <w:pPr>
        <w:tabs>
          <w:tab w:val="left" w:pos="915"/>
          <w:tab w:val="left" w:pos="1275"/>
        </w:tabs>
        <w:ind w:firstLine="1134"/>
        <w:jc w:val="both"/>
      </w:pPr>
      <w:r w:rsidRPr="00CC5112">
        <w:t>Infrastruktūros ir kitų statinių vertė padidėjo</w:t>
      </w:r>
      <w:r w:rsidR="008469ED" w:rsidRPr="00CC5112">
        <w:t xml:space="preserve"> </w:t>
      </w:r>
      <w:r w:rsidR="00B33D24" w:rsidRPr="00CC5112">
        <w:t>7981,31</w:t>
      </w:r>
      <w:r w:rsidRPr="00CC5112">
        <w:t xml:space="preserve"> tūkst. Eur</w:t>
      </w:r>
      <w:r w:rsidR="00380957" w:rsidRPr="00CC5112">
        <w:t xml:space="preserve">. </w:t>
      </w:r>
      <w:r w:rsidRPr="00CC5112">
        <w:t>Savivaldybės administracijos perk</w:t>
      </w:r>
      <w:r w:rsidR="00380957" w:rsidRPr="00CC5112">
        <w:t>elta</w:t>
      </w:r>
      <w:r w:rsidRPr="00CC5112">
        <w:t xml:space="preserve"> iš nebaigtos statybos sąskaitos į infrastruktūros ir kitų statinių sąskaitą</w:t>
      </w:r>
      <w:r w:rsidR="002C1E07" w:rsidRPr="00CC5112">
        <w:t xml:space="preserve"> – </w:t>
      </w:r>
      <w:r w:rsidR="008469ED" w:rsidRPr="00CC5112">
        <w:t>6026,27</w:t>
      </w:r>
      <w:r w:rsidR="002C1E07" w:rsidRPr="00CC5112">
        <w:t xml:space="preserve"> tūkst</w:t>
      </w:r>
      <w:r w:rsidR="00517255" w:rsidRPr="00CC5112">
        <w:t>. Eur</w:t>
      </w:r>
      <w:r w:rsidR="008469ED" w:rsidRPr="00CC5112">
        <w:t>, iš jų</w:t>
      </w:r>
      <w:r w:rsidR="00380957" w:rsidRPr="00CC5112">
        <w:t>:</w:t>
      </w:r>
      <w:r w:rsidR="00517255" w:rsidRPr="00CC5112">
        <w:t xml:space="preserve"> </w:t>
      </w:r>
      <w:r w:rsidR="00380957" w:rsidRPr="00CC5112">
        <w:t>s</w:t>
      </w:r>
      <w:r w:rsidR="00517255" w:rsidRPr="00CC5112">
        <w:t>uremontuotos  Dvaro g. – 1106,47 tūkst. Eur, Gegužių g. – 438,38 tūkst. Eur, Architektų g. – 1175,85 tūkst. Eur ir kitos gatvės – 304,</w:t>
      </w:r>
      <w:r w:rsidR="008469ED" w:rsidRPr="00CC5112">
        <w:t>6</w:t>
      </w:r>
      <w:r w:rsidR="00517255" w:rsidRPr="00CC5112">
        <w:t>5 tūkst. Eur</w:t>
      </w:r>
      <w:r w:rsidR="00380957" w:rsidRPr="00CC5112">
        <w:t>, a</w:t>
      </w:r>
      <w:r w:rsidR="00517255" w:rsidRPr="00CC5112">
        <w:t xml:space="preserve">tlikta gatvių apšvietimo, </w:t>
      </w:r>
      <w:r w:rsidR="008469ED" w:rsidRPr="00CC5112">
        <w:t>l</w:t>
      </w:r>
      <w:r w:rsidR="00517255" w:rsidRPr="00CC5112">
        <w:t>ietaus nuotekų tink</w:t>
      </w:r>
      <w:r w:rsidR="008C6B2A" w:rsidRPr="00CC5112">
        <w:t>l</w:t>
      </w:r>
      <w:r w:rsidR="00517255" w:rsidRPr="00CC5112">
        <w:t>ų ir kitų statinių remonto darbų už 1205,51 tūkst. Eur</w:t>
      </w:r>
      <w:r w:rsidR="008469ED" w:rsidRPr="00CC5112">
        <w:t xml:space="preserve"> ir kt.</w:t>
      </w:r>
      <w:r w:rsidR="008C6B2A" w:rsidRPr="00CC5112">
        <w:t xml:space="preserve"> Pergrupuota į kitas turto grupes – </w:t>
      </w:r>
      <w:r w:rsidR="008469ED" w:rsidRPr="00CC5112">
        <w:t>2842,35</w:t>
      </w:r>
      <w:r w:rsidR="008C6B2A" w:rsidRPr="00CC5112">
        <w:t xml:space="preserve"> tūkst. Eur. </w:t>
      </w:r>
      <w:r w:rsidR="00380957" w:rsidRPr="00CC5112">
        <w:t xml:space="preserve">Kiti VSS pergrupavo į infrastruktūros ir kitų statinių sąskaitą – </w:t>
      </w:r>
      <w:r w:rsidR="00291400" w:rsidRPr="00CC5112">
        <w:t>91,</w:t>
      </w:r>
      <w:r w:rsidR="008469ED" w:rsidRPr="00CC5112">
        <w:t>48</w:t>
      </w:r>
      <w:r w:rsidR="00380957" w:rsidRPr="00CC5112">
        <w:t xml:space="preserve"> tūkst. Eur. </w:t>
      </w:r>
      <w:r w:rsidRPr="00CC5112">
        <w:t xml:space="preserve">Pirkta už </w:t>
      </w:r>
      <w:r w:rsidR="00B33D24" w:rsidRPr="00CC5112">
        <w:t>719,73</w:t>
      </w:r>
      <w:r w:rsidRPr="00CC5112">
        <w:t xml:space="preserve"> tūkst. Eur</w:t>
      </w:r>
      <w:r w:rsidR="00481D80" w:rsidRPr="00CC5112">
        <w:t>. N</w:t>
      </w:r>
      <w:r w:rsidRPr="00CC5112">
        <w:t xml:space="preserve">emokamai gauta turto už </w:t>
      </w:r>
      <w:r w:rsidR="00B33D24" w:rsidRPr="00CC5112">
        <w:t>8555,64</w:t>
      </w:r>
      <w:r w:rsidRPr="00CC5112">
        <w:t xml:space="preserve"> tūkst. Eur</w:t>
      </w:r>
      <w:r w:rsidR="0044018F" w:rsidRPr="00CC5112">
        <w:t>:</w:t>
      </w:r>
      <w:r w:rsidR="00481D80" w:rsidRPr="00CC5112">
        <w:t xml:space="preserve"> </w:t>
      </w:r>
      <w:r w:rsidR="0044018F" w:rsidRPr="00CC5112">
        <w:t>i</w:t>
      </w:r>
      <w:r w:rsidR="00481D80" w:rsidRPr="00CC5112">
        <w:t>š Kūno kultūros ir sporto departamento – 28,</w:t>
      </w:r>
      <w:r w:rsidR="0044018F" w:rsidRPr="00CC5112">
        <w:t>16</w:t>
      </w:r>
      <w:r w:rsidR="00481D80" w:rsidRPr="00CC5112">
        <w:t xml:space="preserve"> tūkst. Eur, </w:t>
      </w:r>
      <w:r w:rsidR="00E438AF" w:rsidRPr="00CC5112">
        <w:t>vidutinėmis rinkos kainomis įvertintos gatvės ir lietaus nuotekų tinklai ir įtraukt</w:t>
      </w:r>
      <w:r w:rsidR="00CB39C3" w:rsidRPr="00CC5112">
        <w:t>i</w:t>
      </w:r>
      <w:r w:rsidR="00E438AF" w:rsidRPr="00CC5112">
        <w:t xml:space="preserve"> į apskaitą – 8516,18 tūkst. Eur</w:t>
      </w:r>
      <w:r w:rsidR="0044018F" w:rsidRPr="00CC5112">
        <w:t xml:space="preserve"> ir kt.</w:t>
      </w:r>
      <w:r w:rsidRPr="00CC5112">
        <w:t xml:space="preserve"> Paskaičiuotas nusidėvėjimas – </w:t>
      </w:r>
      <w:r w:rsidR="00B33D24" w:rsidRPr="00CC5112">
        <w:t>4559,67</w:t>
      </w:r>
      <w:r w:rsidRPr="00CC5112">
        <w:t xml:space="preserve"> tūkst. Eur.</w:t>
      </w:r>
      <w:r w:rsidR="00380957" w:rsidRPr="00CC5112">
        <w:t xml:space="preserve"> Nurašyt</w:t>
      </w:r>
      <w:r w:rsidR="00291400" w:rsidRPr="00CC5112">
        <w:t>i nugriauti statiniai</w:t>
      </w:r>
      <w:r w:rsidR="00380957" w:rsidRPr="00CC5112">
        <w:t xml:space="preserve"> už 9,79 tūkst. Eur</w:t>
      </w:r>
    </w:p>
    <w:p w:rsidR="00E32A06" w:rsidRPr="00CC5112" w:rsidRDefault="002A23D5" w:rsidP="003546D6">
      <w:pPr>
        <w:tabs>
          <w:tab w:val="left" w:pos="915"/>
          <w:tab w:val="left" w:pos="1275"/>
        </w:tabs>
        <w:ind w:firstLine="1134"/>
        <w:jc w:val="both"/>
      </w:pPr>
      <w:r w:rsidRPr="00CC5112">
        <w:t>Nekilnojamų kultūros vertybių likutinė</w:t>
      </w:r>
      <w:r w:rsidR="00E32A06" w:rsidRPr="00CC5112">
        <w:t xml:space="preserve"> vertė padidėjo </w:t>
      </w:r>
      <w:r w:rsidR="007E4AAE" w:rsidRPr="00CC5112">
        <w:t>24,27</w:t>
      </w:r>
      <w:r w:rsidRPr="00CC5112">
        <w:t xml:space="preserve"> </w:t>
      </w:r>
      <w:r w:rsidR="00C651B4" w:rsidRPr="00CC5112">
        <w:t>t</w:t>
      </w:r>
      <w:r w:rsidR="00E32A06" w:rsidRPr="00CC5112">
        <w:t>ū</w:t>
      </w:r>
      <w:r w:rsidR="00C651B4" w:rsidRPr="00CC5112">
        <w:t xml:space="preserve">kst. </w:t>
      </w:r>
      <w:r w:rsidRPr="00CC5112">
        <w:t>Eur</w:t>
      </w:r>
      <w:r w:rsidR="00E32A06" w:rsidRPr="00CC5112">
        <w:t>. Į</w:t>
      </w:r>
      <w:r w:rsidR="007E4AAE" w:rsidRPr="00CC5112">
        <w:t>sigyta</w:t>
      </w:r>
      <w:r w:rsidRPr="00CC5112">
        <w:t xml:space="preserve"> už </w:t>
      </w:r>
      <w:r w:rsidR="007E4AAE" w:rsidRPr="00CC5112">
        <w:t>14,80 tūkst. Eur</w:t>
      </w:r>
      <w:r w:rsidR="003B4048" w:rsidRPr="00CC5112">
        <w:t>.</w:t>
      </w:r>
      <w:r w:rsidR="007E4AAE" w:rsidRPr="00CC5112">
        <w:t xml:space="preserve"> Pergrupuota iš kitų turto grupių </w:t>
      </w:r>
      <w:r w:rsidR="008469ED" w:rsidRPr="00CC5112">
        <w:t xml:space="preserve">– </w:t>
      </w:r>
      <w:r w:rsidR="007E4AAE" w:rsidRPr="00CC5112">
        <w:t>9,47</w:t>
      </w:r>
      <w:r w:rsidR="00E32A06" w:rsidRPr="00CC5112">
        <w:t xml:space="preserve"> tūkst. Eur.</w:t>
      </w:r>
    </w:p>
    <w:p w:rsidR="002A23D5" w:rsidRPr="00CC5112" w:rsidRDefault="002A23D5" w:rsidP="003546D6">
      <w:pPr>
        <w:tabs>
          <w:tab w:val="left" w:pos="915"/>
          <w:tab w:val="left" w:pos="1275"/>
        </w:tabs>
        <w:ind w:firstLine="1134"/>
        <w:jc w:val="both"/>
      </w:pPr>
      <w:r w:rsidRPr="00CC5112">
        <w:t>Mašinų i</w:t>
      </w:r>
      <w:r w:rsidR="00E32A06" w:rsidRPr="00CC5112">
        <w:t xml:space="preserve">r įrengimų vertė padidėjo </w:t>
      </w:r>
      <w:r w:rsidR="003B4048" w:rsidRPr="00CC5112">
        <w:t>334,42</w:t>
      </w:r>
      <w:r w:rsidRPr="00CC5112">
        <w:t xml:space="preserve"> tūkst. Eur. Įsigyta turto už </w:t>
      </w:r>
      <w:r w:rsidR="003B4048" w:rsidRPr="00CC5112">
        <w:t>678,67</w:t>
      </w:r>
      <w:r w:rsidRPr="00CC5112">
        <w:t xml:space="preserve"> tūkst. Eur, nemokamai gaut</w:t>
      </w:r>
      <w:r w:rsidR="003B4048" w:rsidRPr="00CC5112">
        <w:t>a – 0,96</w:t>
      </w:r>
      <w:r w:rsidRPr="00CC5112">
        <w:t xml:space="preserve"> tūkst. Eur, nurašyta – </w:t>
      </w:r>
      <w:r w:rsidR="003B4048" w:rsidRPr="00CC5112">
        <w:t>7,61</w:t>
      </w:r>
      <w:r w:rsidRPr="00CC5112">
        <w:t xml:space="preserve"> tūkst. Eur, pergrupuota </w:t>
      </w:r>
      <w:r w:rsidR="003B4048" w:rsidRPr="00CC5112">
        <w:t>iš kitų</w:t>
      </w:r>
      <w:r w:rsidRPr="00CC5112">
        <w:t xml:space="preserve"> turto grup</w:t>
      </w:r>
      <w:r w:rsidR="003B4048" w:rsidRPr="00CC5112">
        <w:t>ių</w:t>
      </w:r>
      <w:r w:rsidRPr="00CC5112">
        <w:rPr>
          <w:color w:val="FF0000"/>
        </w:rPr>
        <w:t xml:space="preserve"> </w:t>
      </w:r>
      <w:r w:rsidRPr="00CC5112">
        <w:t xml:space="preserve">už </w:t>
      </w:r>
      <w:r w:rsidR="003B4048" w:rsidRPr="00CC5112">
        <w:t>83,81</w:t>
      </w:r>
      <w:r w:rsidRPr="00CC5112">
        <w:t xml:space="preserve"> tūkst. Eur</w:t>
      </w:r>
      <w:r w:rsidR="00D603CF" w:rsidRPr="00CC5112">
        <w:t>, į kitas turto grupes – 8,40 tūkst. Eur</w:t>
      </w:r>
      <w:r w:rsidRPr="00CC5112">
        <w:t xml:space="preserve">. Paskaičiuotas nusidėvėjimas </w:t>
      </w:r>
      <w:r w:rsidR="008469ED" w:rsidRPr="00CC5112">
        <w:t xml:space="preserve">– </w:t>
      </w:r>
      <w:r w:rsidR="003B4048" w:rsidRPr="00CC5112">
        <w:t>413,01</w:t>
      </w:r>
      <w:r w:rsidRPr="00CC5112">
        <w:t xml:space="preserve"> tūkst. Eur.</w:t>
      </w:r>
    </w:p>
    <w:p w:rsidR="002A23D5" w:rsidRPr="00CC5112" w:rsidRDefault="002A23D5" w:rsidP="003546D6">
      <w:pPr>
        <w:tabs>
          <w:tab w:val="left" w:pos="915"/>
          <w:tab w:val="left" w:pos="1275"/>
        </w:tabs>
        <w:ind w:firstLine="1134"/>
        <w:jc w:val="both"/>
      </w:pPr>
      <w:r w:rsidRPr="00CC5112">
        <w:t>Transporto priemonių vertė padidėjo</w:t>
      </w:r>
      <w:r w:rsidR="00891DB0" w:rsidRPr="00CC5112">
        <w:t xml:space="preserve"> 144,55</w:t>
      </w:r>
      <w:r w:rsidRPr="00CC5112">
        <w:t xml:space="preserve"> tūkst. Eur, įsigyta už </w:t>
      </w:r>
      <w:r w:rsidR="00D603CF" w:rsidRPr="00CC5112">
        <w:t>229,21</w:t>
      </w:r>
      <w:r w:rsidRPr="00CC5112">
        <w:t xml:space="preserve"> tūkst. Eur</w:t>
      </w:r>
      <w:r w:rsidR="00E32A06" w:rsidRPr="00CC5112">
        <w:t>. N</w:t>
      </w:r>
      <w:r w:rsidRPr="00CC5112">
        <w:t xml:space="preserve">urašyta ir parduota turto </w:t>
      </w:r>
      <w:r w:rsidR="00552816" w:rsidRPr="00CC5112">
        <w:t xml:space="preserve">likutinė vertė </w:t>
      </w:r>
      <w:r w:rsidRPr="00CC5112">
        <w:t xml:space="preserve">– </w:t>
      </w:r>
      <w:r w:rsidR="00552816" w:rsidRPr="00CC5112">
        <w:t>0,00 tūkst. Eur (parduoto ir nurašyto turto įsigijimo vertė 18,63</w:t>
      </w:r>
      <w:r w:rsidRPr="00CC5112">
        <w:t xml:space="preserve"> tūkst. Eur.</w:t>
      </w:r>
      <w:r w:rsidR="00552816" w:rsidRPr="00CC5112">
        <w:t>, nusidėvėjimas – 18,63 tūkst. Eur)</w:t>
      </w:r>
      <w:r w:rsidRPr="00CC5112">
        <w:t xml:space="preserve"> Apskaičiuotas nusidėvėjimas</w:t>
      </w:r>
      <w:r w:rsidR="00552816" w:rsidRPr="00CC5112">
        <w:t xml:space="preserve"> per 2017 m</w:t>
      </w:r>
      <w:r w:rsidR="006D6AB8">
        <w:t>.</w:t>
      </w:r>
      <w:r w:rsidRPr="00CC5112">
        <w:t xml:space="preserve"> – </w:t>
      </w:r>
      <w:r w:rsidR="00552816" w:rsidRPr="00CC5112">
        <w:t>84,66</w:t>
      </w:r>
      <w:r w:rsidRPr="00CC5112">
        <w:t xml:space="preserve"> tūkst. Eur. </w:t>
      </w:r>
    </w:p>
    <w:p w:rsidR="009C763F" w:rsidRPr="00CC5112" w:rsidRDefault="002A23D5" w:rsidP="003546D6">
      <w:pPr>
        <w:tabs>
          <w:tab w:val="left" w:pos="915"/>
          <w:tab w:val="left" w:pos="1275"/>
        </w:tabs>
        <w:ind w:firstLine="1134"/>
        <w:jc w:val="both"/>
      </w:pPr>
      <w:r w:rsidRPr="00CC5112">
        <w:t xml:space="preserve">Baldų ir biuro įrangos balansinė vertė per ataskaitinį laikotarpį </w:t>
      </w:r>
      <w:r w:rsidR="000B0E41" w:rsidRPr="00CC5112">
        <w:t>padidėjo</w:t>
      </w:r>
      <w:r w:rsidRPr="00CC5112">
        <w:t xml:space="preserve"> </w:t>
      </w:r>
      <w:r w:rsidR="000B0E41" w:rsidRPr="00CC5112">
        <w:t>256,99</w:t>
      </w:r>
      <w:r w:rsidRPr="00CC5112">
        <w:t xml:space="preserve"> tūkst. Eur. Pirkto ir neatlygintinai gauto turto vertė – </w:t>
      </w:r>
      <w:r w:rsidR="000B0E41" w:rsidRPr="00CC5112">
        <w:t xml:space="preserve">663,53 </w:t>
      </w:r>
      <w:r w:rsidRPr="00CC5112">
        <w:t xml:space="preserve">tūkst. Eur, priskaičiuota nusidėvėjimo –  </w:t>
      </w:r>
      <w:r w:rsidR="000B0E41" w:rsidRPr="00CC5112">
        <w:t>438,58</w:t>
      </w:r>
      <w:r w:rsidRPr="00CC5112">
        <w:t xml:space="preserve"> tūkst. Eur, nurašyta turto už </w:t>
      </w:r>
      <w:r w:rsidR="000B0E41" w:rsidRPr="00CC5112">
        <w:t>10,2</w:t>
      </w:r>
      <w:r w:rsidR="00CB39C3" w:rsidRPr="00CC5112">
        <w:t>6</w:t>
      </w:r>
      <w:r w:rsidR="000B0E41" w:rsidRPr="00CC5112">
        <w:t xml:space="preserve"> tūkst. Eur (nurašyto turto įsigijimo vertė 361,1</w:t>
      </w:r>
      <w:r w:rsidR="00CB39C3" w:rsidRPr="00CC5112">
        <w:t>1</w:t>
      </w:r>
      <w:r w:rsidRPr="00CC5112">
        <w:t xml:space="preserve"> tūkst. Eur</w:t>
      </w:r>
      <w:r w:rsidR="000B0E41" w:rsidRPr="00CC5112">
        <w:t>, nusidėvėjimas – 350,85 tūkst. Eur)</w:t>
      </w:r>
      <w:r w:rsidR="009C763F" w:rsidRPr="00CC5112">
        <w:t>. Pergrupuota iš kitų turto grupių</w:t>
      </w:r>
      <w:r w:rsidR="009C763F" w:rsidRPr="00CC5112">
        <w:rPr>
          <w:color w:val="FF0000"/>
        </w:rPr>
        <w:t xml:space="preserve"> </w:t>
      </w:r>
      <w:r w:rsidR="009C763F" w:rsidRPr="00CC5112">
        <w:t>už 42,31 tūkst. Eur.</w:t>
      </w:r>
    </w:p>
    <w:p w:rsidR="002A23D5" w:rsidRPr="00CC5112" w:rsidRDefault="002A23D5" w:rsidP="003546D6">
      <w:pPr>
        <w:tabs>
          <w:tab w:val="left" w:pos="915"/>
          <w:tab w:val="left" w:pos="1275"/>
        </w:tabs>
        <w:ind w:firstLine="1134"/>
        <w:jc w:val="both"/>
      </w:pPr>
      <w:r w:rsidRPr="00CC5112">
        <w:t xml:space="preserve">Kitas ilgalaikis turtas </w:t>
      </w:r>
      <w:r w:rsidR="004C1041" w:rsidRPr="00CC5112">
        <w:t>padidėjo</w:t>
      </w:r>
      <w:r w:rsidRPr="00CC5112">
        <w:t xml:space="preserve"> </w:t>
      </w:r>
      <w:r w:rsidR="004C1041" w:rsidRPr="00CC5112">
        <w:t>360,26</w:t>
      </w:r>
      <w:r w:rsidRPr="00CC5112">
        <w:t xml:space="preserve"> tūkst. Eur. Nurašyta turto už </w:t>
      </w:r>
      <w:r w:rsidR="004C1041" w:rsidRPr="00CC5112">
        <w:t>15,71 tūkst. Eur. (nurašyto turto įsigijimo vertė – 150,52</w:t>
      </w:r>
      <w:r w:rsidRPr="00CC5112">
        <w:t xml:space="preserve"> tūkst. Eur</w:t>
      </w:r>
      <w:r w:rsidR="004C1041" w:rsidRPr="00CC5112">
        <w:t>, nusidėvėjimas – 134,81 tūkst. Eur)</w:t>
      </w:r>
      <w:r w:rsidRPr="00CC5112">
        <w:t>. Priskaičiuotas nusidėvėjimas</w:t>
      </w:r>
      <w:r w:rsidR="004C1041" w:rsidRPr="00CC5112">
        <w:t xml:space="preserve"> ir nuvertėjimas</w:t>
      </w:r>
      <w:r w:rsidRPr="00CC5112">
        <w:t xml:space="preserve"> – </w:t>
      </w:r>
      <w:r w:rsidR="004C1041" w:rsidRPr="00CC5112">
        <w:t>390,58</w:t>
      </w:r>
      <w:r w:rsidRPr="00CC5112">
        <w:t xml:space="preserve"> tūkst. Eur. Neatlygintinai</w:t>
      </w:r>
      <w:r w:rsidR="00E32A06" w:rsidRPr="00CC5112">
        <w:t xml:space="preserve"> gauta turto – </w:t>
      </w:r>
      <w:r w:rsidR="004C1041" w:rsidRPr="00CC5112">
        <w:t>3,25</w:t>
      </w:r>
      <w:r w:rsidR="00E32A06" w:rsidRPr="00CC5112">
        <w:t xml:space="preserve"> tūkst. Eur, p</w:t>
      </w:r>
      <w:r w:rsidR="004C1041" w:rsidRPr="00CC5112">
        <w:t>irkta turto</w:t>
      </w:r>
      <w:r w:rsidRPr="00CC5112">
        <w:t xml:space="preserve"> – </w:t>
      </w:r>
      <w:r w:rsidR="004C1041" w:rsidRPr="00CC5112">
        <w:t>651,44</w:t>
      </w:r>
      <w:r w:rsidRPr="00CC5112">
        <w:t xml:space="preserve"> tūkst. Eur.</w:t>
      </w:r>
      <w:r w:rsidR="004C1041" w:rsidRPr="00CC5112">
        <w:t xml:space="preserve"> Pergrupuota iš kitų turto grupių – 111,86 tūkst. Eur</w:t>
      </w:r>
    </w:p>
    <w:p w:rsidR="003F4835" w:rsidRPr="00CC5112" w:rsidRDefault="002A23D5" w:rsidP="003546D6">
      <w:pPr>
        <w:suppressAutoHyphens w:val="0"/>
        <w:autoSpaceDE w:val="0"/>
        <w:autoSpaceDN w:val="0"/>
        <w:adjustRightInd w:val="0"/>
        <w:ind w:firstLine="1134"/>
        <w:jc w:val="both"/>
      </w:pPr>
      <w:r w:rsidRPr="00CC5112">
        <w:t>Nebaigtos statybos ir išankstinių</w:t>
      </w:r>
      <w:r w:rsidR="00203B52" w:rsidRPr="00CC5112">
        <w:t xml:space="preserve"> mokėjimų vertė </w:t>
      </w:r>
      <w:r w:rsidR="00C8630C" w:rsidRPr="00CC5112">
        <w:t>padidėjo</w:t>
      </w:r>
      <w:r w:rsidR="00203B52" w:rsidRPr="00CC5112">
        <w:t xml:space="preserve"> </w:t>
      </w:r>
      <w:r w:rsidR="00C8630C" w:rsidRPr="00CC5112">
        <w:t>2962,52</w:t>
      </w:r>
      <w:r w:rsidRPr="00CC5112">
        <w:t xml:space="preserve"> tūkst. Eur. </w:t>
      </w:r>
      <w:r w:rsidR="00670CB9" w:rsidRPr="00CC5112">
        <w:t xml:space="preserve">Pirkta statybos darbų už 9662,03 Eur. </w:t>
      </w:r>
      <w:r w:rsidRPr="00CC5112">
        <w:t xml:space="preserve">Dėl baigtų statybų pergrupuota į kitas turto grupes (pastatus, infrastruktūros ir kitus statinius) už </w:t>
      </w:r>
      <w:r w:rsidR="00EA1C1F" w:rsidRPr="00CC5112">
        <w:t>5725,17</w:t>
      </w:r>
      <w:r w:rsidRPr="00CC5112">
        <w:t xml:space="preserve"> tūkst. Eur,</w:t>
      </w:r>
      <w:r w:rsidR="003617AF" w:rsidRPr="00CC5112">
        <w:t xml:space="preserve"> </w:t>
      </w:r>
      <w:r w:rsidRPr="00CC5112">
        <w:t xml:space="preserve">iš kurių reikšmingos sumos: </w:t>
      </w:r>
      <w:r w:rsidR="00E55E34" w:rsidRPr="00CC5112">
        <w:t xml:space="preserve">Savivaldybės administracijos atlikti </w:t>
      </w:r>
      <w:r w:rsidR="00EA1C1F" w:rsidRPr="00CC5112">
        <w:t>Gegužių g. esminio pagerinimo darbai</w:t>
      </w:r>
      <w:r w:rsidRPr="00CC5112">
        <w:t xml:space="preserve"> – </w:t>
      </w:r>
      <w:r w:rsidR="00EA1C1F" w:rsidRPr="00CC5112">
        <w:t>438,38</w:t>
      </w:r>
      <w:r w:rsidRPr="00CC5112">
        <w:t xml:space="preserve"> tūkst. Eur, </w:t>
      </w:r>
      <w:r w:rsidR="00EA1C1F" w:rsidRPr="00CC5112">
        <w:t xml:space="preserve">Architektų g. asfalto dangos remontas – 1175,85 tūkst. Eur, Dvaro g. rekonstrukcija – </w:t>
      </w:r>
      <w:r w:rsidR="008469ED" w:rsidRPr="00CC5112">
        <w:t>1106,47 tūkst. Eur, Lygumų g., P</w:t>
      </w:r>
      <w:r w:rsidR="00EA1C1F" w:rsidRPr="00CC5112">
        <w:t>ramonės g., Joniškėlio g., Papievių g., Rėžių g. remonto darbai – 304,65 tūkst. Eur, Talkšos prieigų apšvietimas – 54,00 tūkst. Eur, D.Poškos g., Rėkyvos g., Traktorininkų g., Žalgirio g., Signatarų alėjos</w:t>
      </w:r>
      <w:r w:rsidR="00E55E34" w:rsidRPr="00CC5112">
        <w:t>, Žalumynų g., Darželio g., Tulpių g., Rožių g., Vilni</w:t>
      </w:r>
      <w:r w:rsidR="008469ED" w:rsidRPr="00CC5112">
        <w:t>aus g., ir kt. apšvietimas</w:t>
      </w:r>
      <w:r w:rsidR="00E55E34" w:rsidRPr="00CC5112">
        <w:t xml:space="preserve"> – 437,43 tūkst. Eur, Dvaro g. apšvietimo tinklai – 126,16 tūkst. Eur</w:t>
      </w:r>
      <w:r w:rsidR="008469ED" w:rsidRPr="00CC5112">
        <w:t>, įrengta segmentinė tvora Ginkū</w:t>
      </w:r>
      <w:r w:rsidR="00E55E34" w:rsidRPr="00CC5112">
        <w:t>nų kapinėse – 17,00 tūkst. Eur, Reabilitacijos centr</w:t>
      </w:r>
      <w:r w:rsidR="008469ED" w:rsidRPr="00CC5112">
        <w:t>e</w:t>
      </w:r>
      <w:r w:rsidR="00E55E34" w:rsidRPr="00CC5112">
        <w:t xml:space="preserve"> Pramonės g. 15A įrengtos aikštelės – 83,38 tūkst. Eur, Ginkūnų civilinių kapų praplėtimas – 45,28 tūks</w:t>
      </w:r>
      <w:r w:rsidR="008469ED" w:rsidRPr="00CC5112">
        <w:t>t</w:t>
      </w:r>
      <w:r w:rsidR="00E55E34" w:rsidRPr="00CC5112">
        <w:t>. Eur, įrengta Dvaro g. lietaus nuotekų trasa – 442,18 tūkst. Eur.</w:t>
      </w:r>
      <w:r w:rsidR="00E55E34" w:rsidRPr="00CC5112">
        <w:rPr>
          <w:rFonts w:ascii="LiberationSerif" w:hAnsi="LiberationSerif" w:cs="LiberationSerif"/>
          <w:lang w:eastAsia="lt-LT"/>
        </w:rPr>
        <w:t xml:space="preserve"> Sanatorinės mokyklos lifto įrengimas </w:t>
      </w:r>
      <w:r w:rsidR="008469ED" w:rsidRPr="00CC5112">
        <w:rPr>
          <w:rFonts w:ascii="LiberationSerif" w:hAnsi="LiberationSerif" w:cs="LiberationSerif"/>
          <w:lang w:eastAsia="lt-LT"/>
        </w:rPr>
        <w:t xml:space="preserve">– </w:t>
      </w:r>
      <w:r w:rsidR="00E55E34" w:rsidRPr="00CC5112">
        <w:rPr>
          <w:rFonts w:ascii="LiberationSerif" w:hAnsi="LiberationSerif" w:cs="LiberationSerif"/>
          <w:lang w:eastAsia="lt-LT"/>
        </w:rPr>
        <w:t>70,71 tūkst. Eur, baseino ir dušo remontas – 342,30 tūkst. Eur</w:t>
      </w:r>
      <w:r w:rsidR="00A57627" w:rsidRPr="00CC5112">
        <w:rPr>
          <w:rFonts w:ascii="LiberationSerif" w:hAnsi="LiberationSerif" w:cs="LiberationSerif"/>
          <w:lang w:eastAsia="lt-LT"/>
        </w:rPr>
        <w:t>,</w:t>
      </w:r>
      <w:r w:rsidR="007B6C30" w:rsidRPr="00CC5112">
        <w:rPr>
          <w:rFonts w:ascii="LiberationSerif" w:hAnsi="LiberationSerif" w:cs="LiberationSerif"/>
          <w:lang w:eastAsia="lt-LT"/>
        </w:rPr>
        <w:t xml:space="preserve"> </w:t>
      </w:r>
      <w:r w:rsidR="00A57627" w:rsidRPr="00CC5112">
        <w:rPr>
          <w:rFonts w:ascii="LiberationSerif" w:hAnsi="LiberationSerif" w:cs="LiberationSerif"/>
          <w:lang w:eastAsia="lt-LT"/>
        </w:rPr>
        <w:t>Juliaus Janonio gimnazijos pastato remontas – 291,68 tūkst. Eur, Šiaulių lopšelio darželio „Eglutė“ pastato remontas – 93,81 tūkst. Eur</w:t>
      </w:r>
      <w:r w:rsidR="00CF40DA" w:rsidRPr="00CC5112">
        <w:rPr>
          <w:rFonts w:ascii="LiberationSerif" w:hAnsi="LiberationSerif" w:cs="LiberationSerif"/>
          <w:lang w:eastAsia="lt-LT"/>
        </w:rPr>
        <w:t>, Šiaulių sanatorinio lopšelio – darželio „Pušelė“ pastato apšiltinimas – 24,23 tūkst. Eur</w:t>
      </w:r>
      <w:r w:rsidR="00A57627" w:rsidRPr="00CC5112">
        <w:rPr>
          <w:rFonts w:ascii="LiberationSerif" w:hAnsi="LiberationSerif" w:cs="LiberationSerif"/>
          <w:lang w:eastAsia="lt-LT"/>
        </w:rPr>
        <w:t>.</w:t>
      </w:r>
      <w:r w:rsidR="00290B72" w:rsidRPr="00CC5112">
        <w:rPr>
          <w:rFonts w:ascii="LiberationSerif" w:hAnsi="LiberationSerif" w:cs="LiberationSerif"/>
          <w:lang w:eastAsia="lt-LT"/>
        </w:rPr>
        <w:t xml:space="preserve"> </w:t>
      </w:r>
      <w:r w:rsidR="00290B72" w:rsidRPr="00CC5112">
        <w:t xml:space="preserve">Šiaulių specialiojo ugdymo centro pastato remontas – 86,87 tūkst. Eur. </w:t>
      </w:r>
      <w:r w:rsidR="003617AF" w:rsidRPr="00CC5112">
        <w:t>Iš nematerialiojo turto grupės pergrupuota į Nebaigtos statybos turto grupę – 16,9 tūkst. Eur (Sporto mokyklos „Atžalynas“ Rėkyvos ežero pakrantės įrengimo projektas).</w:t>
      </w:r>
      <w:r w:rsidR="00670CB9" w:rsidRPr="00CC5112">
        <w:t xml:space="preserve"> </w:t>
      </w:r>
      <w:r w:rsidR="00DC11F8" w:rsidRPr="00CC5112">
        <w:t xml:space="preserve">Nurašyta </w:t>
      </w:r>
      <w:r w:rsidR="00114F4C" w:rsidRPr="00CC5112">
        <w:t xml:space="preserve">į sąnaudas </w:t>
      </w:r>
      <w:r w:rsidR="00DC11F8" w:rsidRPr="00CC5112">
        <w:t>nebaigtos statybos už 904,37  tūkst. Eur</w:t>
      </w:r>
      <w:r w:rsidR="00114F4C" w:rsidRPr="00CC5112">
        <w:t xml:space="preserve"> (tai rekonstruojant Dvaro g., sukauptos išlaidos, patirtos rekonstruojant vandentiekio trasą ir nuotekų tinklus, priklausančius UAB „Šiaulių vandenys“)</w:t>
      </w:r>
      <w:r w:rsidR="00DC11F8" w:rsidRPr="00CC5112">
        <w:t>. Savivaldybės administracijos pradėt</w:t>
      </w:r>
      <w:r w:rsidR="00CB39C3" w:rsidRPr="00CC5112">
        <w:t>ų</w:t>
      </w:r>
      <w:r w:rsidR="00DC11F8" w:rsidRPr="00CC5112">
        <w:t xml:space="preserve"> k</w:t>
      </w:r>
      <w:r w:rsidR="00CB39C3" w:rsidRPr="00CC5112">
        <w:t>aupimų</w:t>
      </w:r>
      <w:r w:rsidR="00DC11F8" w:rsidRPr="00CC5112">
        <w:t xml:space="preserve"> naujų objektų statyboms ir remontui, iš kurių reikšmingos sumos dėl pradėtų naujų objektų: </w:t>
      </w:r>
      <w:r w:rsidR="003F4835" w:rsidRPr="00CC5112">
        <w:t>Šiaulių sporto gimnazijos (Vilniaus g. 297,</w:t>
      </w:r>
      <w:r w:rsidR="00CB39C3" w:rsidRPr="00CC5112">
        <w:t xml:space="preserve"> </w:t>
      </w:r>
      <w:r w:rsidR="003F4835" w:rsidRPr="00CC5112">
        <w:t xml:space="preserve">Šiauliai) modernizavimas – 2935,09 tūkst. Eur, Šiaulių specialiojo ugdymo centro pastato remontas – 790,72 tūkst. Eur, </w:t>
      </w:r>
      <w:r w:rsidR="00CB39C3" w:rsidRPr="00CC5112">
        <w:t>f</w:t>
      </w:r>
      <w:r w:rsidR="003F4835" w:rsidRPr="00CC5112">
        <w:t>ekalinė kanalizacija į Šiaulių oro uostą – 343,91 tūkst. Eur, Logistikos centro intermodalinio te</w:t>
      </w:r>
      <w:r w:rsidR="003C7899" w:rsidRPr="00CC5112">
        <w:t>rminalo 3 etapas – 427,47 tūkst</w:t>
      </w:r>
      <w:r w:rsidR="00CC5112">
        <w:t>.</w:t>
      </w:r>
      <w:r w:rsidR="003C7899" w:rsidRPr="00CC5112">
        <w:t xml:space="preserve">, </w:t>
      </w:r>
      <w:r w:rsidR="00CB39C3" w:rsidRPr="00CC5112">
        <w:t>s</w:t>
      </w:r>
      <w:r w:rsidR="003C7899" w:rsidRPr="00CC5112">
        <w:t>porto paskirties pastato Gardino g. 14 statybos darbai – 415,05 tūkst. Eur</w:t>
      </w:r>
      <w:r w:rsidR="00BB236E" w:rsidRPr="00CC5112">
        <w:t xml:space="preserve">, </w:t>
      </w:r>
      <w:r w:rsidR="0002303E" w:rsidRPr="00CC5112">
        <w:t xml:space="preserve">Tilžės g. kapitalinis remontas – 422,12 tūkst. Eur, </w:t>
      </w:r>
      <w:r w:rsidR="00BB236E" w:rsidRPr="00CC5112">
        <w:t>Daušiškių kapinių įrengimas – 262,71 tūkst. Eur, Dubijos g. remontas – 216,74 tūkst. Eur</w:t>
      </w:r>
      <w:r w:rsidR="0002303E" w:rsidRPr="00CC5112">
        <w:t xml:space="preserve">, Sprudeikos g. įrengimas – 309,50 tūkst. Eur,  </w:t>
      </w:r>
      <w:r w:rsidR="00895F06" w:rsidRPr="00CC5112">
        <w:t xml:space="preserve">Žiemgalių g. rekonstrukcija – 199,18 tūkst. Eur, </w:t>
      </w:r>
      <w:r w:rsidR="0002303E" w:rsidRPr="00CC5112">
        <w:t xml:space="preserve">kitų gatvių </w:t>
      </w:r>
      <w:r w:rsidR="003A005A" w:rsidRPr="00CC5112">
        <w:t xml:space="preserve">(Dainų g., Daumanto g., A.Mickevičiaus g., Aukštabalio g., Aviacijos g., Bijotės g., Ežero g., J.Basanavičiaus g., Kalniškių g., Lyros g., Lizdeikos g., P.Cvirkos g., P.Motiekaičio g., Pakruojo g., Panevėžio g., Pietinis aplinkkelis, Pramonės g., Pročiūnų g., Sodo g., Strazdelio g., Traidenio g, Traktoristų g., Trakų g., Vairo g., Veiverių g.,  Žibuoklių g.,  Žiemgalių g., Vytauto g. ir kt.) </w:t>
      </w:r>
      <w:r w:rsidR="0002303E" w:rsidRPr="00CC5112">
        <w:t xml:space="preserve">remonto ir rekonstravimo darbai – </w:t>
      </w:r>
      <w:r w:rsidR="00895F06" w:rsidRPr="00CC5112">
        <w:t>1401,72</w:t>
      </w:r>
      <w:r w:rsidR="0002303E" w:rsidRPr="00CC5112">
        <w:t xml:space="preserve"> tūkst. Eur, kita nebaigta statyba – 1</w:t>
      </w:r>
      <w:r w:rsidR="003A005A" w:rsidRPr="00CC5112">
        <w:t>603,47</w:t>
      </w:r>
      <w:r w:rsidR="0002303E" w:rsidRPr="00CC5112">
        <w:t xml:space="preserve"> tūkst. Eur</w:t>
      </w:r>
      <w:r w:rsidR="00280F38" w:rsidRPr="00CC5112">
        <w:t>.</w:t>
      </w:r>
    </w:p>
    <w:p w:rsidR="002A23D5" w:rsidRPr="00CC5112" w:rsidRDefault="002A23D5" w:rsidP="00280F38">
      <w:pPr>
        <w:tabs>
          <w:tab w:val="left" w:pos="915"/>
          <w:tab w:val="left" w:pos="1275"/>
        </w:tabs>
        <w:ind w:firstLine="1134"/>
        <w:jc w:val="both"/>
      </w:pPr>
      <w:r w:rsidRPr="00CC5112">
        <w:t>Apskaičiuotas IMT turto nusidėvėjimas per 201</w:t>
      </w:r>
      <w:r w:rsidR="00DC11F8" w:rsidRPr="00CC5112">
        <w:t>7</w:t>
      </w:r>
      <w:r w:rsidRPr="00CC5112">
        <w:t xml:space="preserve"> m. – </w:t>
      </w:r>
      <w:r w:rsidR="00DC11F8" w:rsidRPr="00CC5112">
        <w:t>6951,93</w:t>
      </w:r>
      <w:r w:rsidRPr="00CC5112">
        <w:t xml:space="preserve"> tūkst. Eur. Ataskaitinio laikotarpio pabaigoje sukaupto nusidėvėjimo suma sudarė </w:t>
      </w:r>
      <w:r w:rsidR="00DC11F8" w:rsidRPr="00CC5112">
        <w:t>94309,16</w:t>
      </w:r>
      <w:r w:rsidRPr="00CC5112">
        <w:t xml:space="preserve"> tūkst. Eur. IMT buvo pergrupuotas – perkeltas iš vienos turto grupės į kitą, siekiant patikslinti turto priskyrimą atskiroms turto grupėms.</w:t>
      </w:r>
    </w:p>
    <w:p w:rsidR="005725E5" w:rsidRPr="00CC5112" w:rsidRDefault="002A23D5" w:rsidP="00280F38">
      <w:pPr>
        <w:tabs>
          <w:tab w:val="left" w:pos="915"/>
          <w:tab w:val="left" w:pos="1275"/>
        </w:tabs>
        <w:ind w:firstLine="1134"/>
        <w:jc w:val="both"/>
      </w:pPr>
      <w:r w:rsidRPr="00CC5112">
        <w:t xml:space="preserve">Valstybei nuosavybės teise priklausančio, savivaldybės patikėjimo teise valdomo ilgalaikio materialiojo turto balansinė vertė </w:t>
      </w:r>
      <w:r w:rsidR="00400687" w:rsidRPr="00CC5112">
        <w:t>padidėjo 1636,45</w:t>
      </w:r>
      <w:r w:rsidR="00857462" w:rsidRPr="00CC5112">
        <w:t xml:space="preserve"> tūkst. Eur ir ataskaitinio </w:t>
      </w:r>
      <w:r w:rsidRPr="00CC5112">
        <w:t xml:space="preserve">laikotarpio pabaigoje </w:t>
      </w:r>
      <w:r w:rsidR="00857462" w:rsidRPr="00CC5112">
        <w:t>sudarė</w:t>
      </w:r>
      <w:r w:rsidR="00B71439" w:rsidRPr="00CC5112">
        <w:t xml:space="preserve"> </w:t>
      </w:r>
      <w:r w:rsidR="00DC11F8" w:rsidRPr="00CC5112">
        <w:t>4514,54</w:t>
      </w:r>
      <w:r w:rsidR="00857462" w:rsidRPr="00CC5112">
        <w:t xml:space="preserve"> tūkst. </w:t>
      </w:r>
      <w:r w:rsidRPr="00CC5112">
        <w:t>Eur.</w:t>
      </w:r>
    </w:p>
    <w:p w:rsidR="005725E5" w:rsidRPr="00CC5112" w:rsidRDefault="005725E5" w:rsidP="00280F38">
      <w:pPr>
        <w:tabs>
          <w:tab w:val="left" w:pos="915"/>
          <w:tab w:val="left" w:pos="1275"/>
        </w:tabs>
        <w:ind w:firstLine="1134"/>
        <w:jc w:val="both"/>
      </w:pPr>
    </w:p>
    <w:p w:rsidR="00203B52" w:rsidRPr="00CC5112" w:rsidRDefault="00203B52" w:rsidP="00280F38">
      <w:pPr>
        <w:tabs>
          <w:tab w:val="left" w:pos="915"/>
          <w:tab w:val="left" w:pos="1275"/>
        </w:tabs>
        <w:ind w:firstLine="1134"/>
        <w:jc w:val="both"/>
        <w:rPr>
          <w:bCs/>
        </w:rPr>
      </w:pPr>
      <w:r w:rsidRPr="00CC5112">
        <w:rPr>
          <w:b/>
          <w:bCs/>
        </w:rPr>
        <w:t xml:space="preserve">3. Ilgalaikis finansinis turtas, pastabos Nr. P05, P06. </w:t>
      </w:r>
      <w:r w:rsidRPr="00CC5112">
        <w:rPr>
          <w:bCs/>
        </w:rPr>
        <w:t xml:space="preserve">Kontroliuojamų akcinių ir uždarųjų akcinių bendrovių, kontroliuojamų viešųjų įstaigų, nepriskirtų prie VSS, jungtinės finansinės būklės ataskaitos (balansai) pateikti šio aiškinamojo rašto  priede Nr. P27. </w:t>
      </w:r>
    </w:p>
    <w:p w:rsidR="00203B52" w:rsidRPr="00CC5112" w:rsidRDefault="00203B52" w:rsidP="00280F38">
      <w:pPr>
        <w:ind w:firstLine="1134"/>
        <w:jc w:val="both"/>
      </w:pPr>
      <w:r w:rsidRPr="00CC5112">
        <w:rPr>
          <w:bCs/>
        </w:rPr>
        <w:t xml:space="preserve">Ilgalaikio finansinio turto sudėtyje didžiąją dalį sudaro investicijos į kontroliuojamus ne viešojo sektoriaus ir asocijuotus subjektus – </w:t>
      </w:r>
      <w:r w:rsidR="00027AD4" w:rsidRPr="00CC5112">
        <w:rPr>
          <w:bCs/>
        </w:rPr>
        <w:t>93255,63</w:t>
      </w:r>
      <w:r w:rsidRPr="00CC5112">
        <w:rPr>
          <w:bCs/>
        </w:rPr>
        <w:t xml:space="preserve"> tūkst. Eur. Lyginant su praėjusiais metais padidėjo </w:t>
      </w:r>
      <w:r w:rsidR="00027AD4" w:rsidRPr="00CC5112">
        <w:rPr>
          <w:bCs/>
        </w:rPr>
        <w:t>4137,</w:t>
      </w:r>
      <w:r w:rsidRPr="00CC5112">
        <w:rPr>
          <w:bCs/>
        </w:rPr>
        <w:t>6</w:t>
      </w:r>
      <w:r w:rsidR="00027AD4" w:rsidRPr="00CC5112">
        <w:rPr>
          <w:bCs/>
        </w:rPr>
        <w:t>0</w:t>
      </w:r>
      <w:r w:rsidRPr="00CC5112">
        <w:rPr>
          <w:bCs/>
        </w:rPr>
        <w:t xml:space="preserve"> tūkst. Eur. Reikšmingiausi pasikeitimai:</w:t>
      </w:r>
      <w:r w:rsidRPr="00CC5112">
        <w:rPr>
          <w:rFonts w:eastAsia="Calibri"/>
          <w:lang w:eastAsia="en-US"/>
        </w:rPr>
        <w:t xml:space="preserve"> UAB </w:t>
      </w:r>
      <w:r w:rsidR="00B71439" w:rsidRPr="00CC5112">
        <w:rPr>
          <w:rFonts w:eastAsia="Calibri"/>
          <w:lang w:eastAsia="en-US"/>
        </w:rPr>
        <w:t>„</w:t>
      </w:r>
      <w:r w:rsidRPr="00CC5112">
        <w:rPr>
          <w:rFonts w:eastAsia="Calibri"/>
          <w:lang w:eastAsia="en-US"/>
        </w:rPr>
        <w:t>Šiaulių vandenys</w:t>
      </w:r>
      <w:r w:rsidR="00B71439" w:rsidRPr="00CC5112">
        <w:rPr>
          <w:rFonts w:eastAsia="Calibri"/>
          <w:lang w:eastAsia="en-US"/>
        </w:rPr>
        <w:t>“</w:t>
      </w:r>
      <w:r w:rsidRPr="00CC5112">
        <w:rPr>
          <w:rFonts w:eastAsia="Calibri"/>
          <w:lang w:eastAsia="en-US"/>
        </w:rPr>
        <w:t xml:space="preserve"> padidintas įstatinis kapitalas </w:t>
      </w:r>
      <w:r w:rsidR="00027AD4" w:rsidRPr="00CC5112">
        <w:rPr>
          <w:rFonts w:eastAsia="Calibri"/>
          <w:lang w:eastAsia="en-US"/>
        </w:rPr>
        <w:t>1014,8</w:t>
      </w:r>
      <w:r w:rsidRPr="00CC5112">
        <w:rPr>
          <w:rFonts w:eastAsia="Calibri"/>
          <w:lang w:eastAsia="en-US"/>
        </w:rPr>
        <w:t xml:space="preserve"> tūkst. Eur (</w:t>
      </w:r>
      <w:r w:rsidR="00CE08F8" w:rsidRPr="00CC5112">
        <w:rPr>
          <w:rFonts w:eastAsia="Calibri"/>
          <w:lang w:eastAsia="en-US"/>
        </w:rPr>
        <w:t>35041</w:t>
      </w:r>
      <w:r w:rsidRPr="00CC5112">
        <w:rPr>
          <w:rFonts w:eastAsia="Calibri"/>
          <w:lang w:eastAsia="en-US"/>
        </w:rPr>
        <w:t xml:space="preserve"> vnt. paprastųjų nematerialiųjų vardinių akcijų); </w:t>
      </w:r>
      <w:r w:rsidR="00027AD4" w:rsidRPr="00CC5112">
        <w:rPr>
          <w:rFonts w:eastAsia="Calibri"/>
          <w:lang w:eastAsia="en-US"/>
        </w:rPr>
        <w:t>Vš</w:t>
      </w:r>
      <w:r w:rsidR="00525437" w:rsidRPr="00CC5112">
        <w:rPr>
          <w:rFonts w:eastAsia="Calibri"/>
          <w:lang w:eastAsia="en-US"/>
        </w:rPr>
        <w:t>Į</w:t>
      </w:r>
      <w:r w:rsidR="00027AD4" w:rsidRPr="00CC5112">
        <w:rPr>
          <w:rFonts w:eastAsia="Calibri"/>
          <w:lang w:eastAsia="en-US"/>
        </w:rPr>
        <w:t xml:space="preserve"> </w:t>
      </w:r>
      <w:r w:rsidR="00B71439" w:rsidRPr="00CC5112">
        <w:rPr>
          <w:rFonts w:eastAsia="Calibri"/>
          <w:lang w:eastAsia="en-US"/>
        </w:rPr>
        <w:t>„</w:t>
      </w:r>
      <w:r w:rsidR="00027AD4" w:rsidRPr="00CC5112">
        <w:rPr>
          <w:rFonts w:eastAsia="Calibri"/>
          <w:lang w:eastAsia="en-US"/>
        </w:rPr>
        <w:t>Šiaulių verslo inkubatorius</w:t>
      </w:r>
      <w:r w:rsidR="00B71439" w:rsidRPr="00CC5112">
        <w:rPr>
          <w:rFonts w:eastAsia="Calibri"/>
          <w:lang w:eastAsia="en-US"/>
        </w:rPr>
        <w:t>“</w:t>
      </w:r>
      <w:r w:rsidR="00027AD4" w:rsidRPr="00CC5112">
        <w:rPr>
          <w:rFonts w:eastAsia="Calibri"/>
          <w:lang w:eastAsia="en-US"/>
        </w:rPr>
        <w:t xml:space="preserve"> padidintas dalininko įnašas 18,50 tūkst. Eur. Reorganizuotas VšĮ Šiaulių turizmo informacijos centras, nurašyta investicija – 28,96 tūkst. Eur. </w:t>
      </w:r>
      <w:r w:rsidR="00525437" w:rsidRPr="00CC5112">
        <w:rPr>
          <w:rFonts w:eastAsia="Calibri"/>
          <w:lang w:eastAsia="en-US"/>
        </w:rPr>
        <w:t>Investicija į kitus subjektus: į</w:t>
      </w:r>
      <w:r w:rsidR="00027AD4" w:rsidRPr="00CC5112">
        <w:rPr>
          <w:rFonts w:eastAsia="Calibri"/>
          <w:lang w:eastAsia="en-US"/>
        </w:rPr>
        <w:t xml:space="preserve">steigta VšĮ futbolo akademija „Šiauliai“ dalininko kapitalas </w:t>
      </w:r>
      <w:r w:rsidR="00B71439" w:rsidRPr="00CC5112">
        <w:rPr>
          <w:rFonts w:eastAsia="Calibri"/>
          <w:lang w:eastAsia="en-US"/>
        </w:rPr>
        <w:t xml:space="preserve">– </w:t>
      </w:r>
      <w:r w:rsidR="00027AD4" w:rsidRPr="00CC5112">
        <w:rPr>
          <w:rFonts w:eastAsia="Calibri"/>
          <w:lang w:eastAsia="en-US"/>
        </w:rPr>
        <w:t xml:space="preserve">61,00 tūkst. Eur. </w:t>
      </w:r>
      <w:r w:rsidRPr="00CC5112">
        <w:t>Iš viso per 201</w:t>
      </w:r>
      <w:r w:rsidR="00027AD4" w:rsidRPr="00CC5112">
        <w:t>7</w:t>
      </w:r>
      <w:r w:rsidRPr="00CC5112">
        <w:t xml:space="preserve"> m. dėl nuosavybės metodo įtakos investicijų vertė padidėjo </w:t>
      </w:r>
      <w:r w:rsidR="00525437" w:rsidRPr="00CC5112">
        <w:t>3777,65</w:t>
      </w:r>
      <w:r w:rsidRPr="00CC5112">
        <w:t xml:space="preserve"> tūkst. Eur. </w:t>
      </w:r>
    </w:p>
    <w:p w:rsidR="00203B52" w:rsidRPr="00CC5112" w:rsidRDefault="00203B52" w:rsidP="00280F38">
      <w:pPr>
        <w:tabs>
          <w:tab w:val="left" w:pos="709"/>
        </w:tabs>
        <w:ind w:firstLine="1134"/>
        <w:jc w:val="both"/>
        <w:rPr>
          <w:rFonts w:eastAsia="Calibri"/>
          <w:lang w:eastAsia="en-US"/>
        </w:rPr>
      </w:pPr>
      <w:r w:rsidRPr="00CC5112">
        <w:rPr>
          <w:bCs/>
        </w:rPr>
        <w:t xml:space="preserve">Po vienerių metų gautinas sumas – </w:t>
      </w:r>
      <w:r w:rsidR="001A7298" w:rsidRPr="00CC5112">
        <w:rPr>
          <w:bCs/>
        </w:rPr>
        <w:t>348,52</w:t>
      </w:r>
      <w:r w:rsidRPr="00CC5112">
        <w:rPr>
          <w:bCs/>
        </w:rPr>
        <w:t xml:space="preserve"> tūkst. Eur </w:t>
      </w:r>
      <w:r w:rsidRPr="00CC5112">
        <w:rPr>
          <w:rFonts w:eastAsia="Calibri"/>
          <w:lang w:eastAsia="en-US"/>
        </w:rPr>
        <w:t xml:space="preserve">sudaro: savivaldybės administracijos iš Privatizavimo fondo perimtos ilgalaikės paskolos, išduotos iki 2024/2025 metų Basanavičiaus g. 74 gyventojams butų statybai pabaigti, paskolų vertė </w:t>
      </w:r>
      <w:r w:rsidR="00B71439" w:rsidRPr="00CC5112">
        <w:rPr>
          <w:rFonts w:eastAsia="Calibri"/>
          <w:lang w:eastAsia="en-US"/>
        </w:rPr>
        <w:t xml:space="preserve">– </w:t>
      </w:r>
      <w:r w:rsidR="001A7298" w:rsidRPr="00CC5112">
        <w:rPr>
          <w:rFonts w:eastAsia="Calibri"/>
          <w:lang w:eastAsia="en-US"/>
        </w:rPr>
        <w:t>32,89</w:t>
      </w:r>
      <w:r w:rsidRPr="00CC5112">
        <w:rPr>
          <w:rFonts w:eastAsia="Calibri"/>
          <w:lang w:eastAsia="en-US"/>
        </w:rPr>
        <w:t xml:space="preserve"> tūkst. Eur, amortizacija – </w:t>
      </w:r>
      <w:r w:rsidR="001A7298" w:rsidRPr="00CC5112">
        <w:rPr>
          <w:rFonts w:eastAsia="Calibri"/>
          <w:lang w:eastAsia="en-US"/>
        </w:rPr>
        <w:t>7,67</w:t>
      </w:r>
      <w:r w:rsidRPr="00CC5112">
        <w:rPr>
          <w:rFonts w:eastAsia="Calibri"/>
          <w:lang w:eastAsia="en-US"/>
        </w:rPr>
        <w:t xml:space="preserve"> tūkst. Eur;</w:t>
      </w:r>
      <w:r w:rsidR="00471479" w:rsidRPr="00CC5112">
        <w:rPr>
          <w:rFonts w:eastAsia="Calibri"/>
          <w:lang w:eastAsia="en-US"/>
        </w:rPr>
        <w:t xml:space="preserve"> </w:t>
      </w:r>
      <w:r w:rsidRPr="00CC5112">
        <w:rPr>
          <w:rFonts w:eastAsia="Calibri"/>
          <w:lang w:eastAsia="en-US"/>
        </w:rPr>
        <w:t>iš valstybės biudžeto gautinos sumos piniginei kompensacijai mokėti dėl atkurtų religinės bendruomenės nuosavybės teisi</w:t>
      </w:r>
      <w:r w:rsidR="00B71439" w:rsidRPr="00CC5112">
        <w:rPr>
          <w:rFonts w:eastAsia="Calibri"/>
          <w:lang w:eastAsia="en-US"/>
        </w:rPr>
        <w:t>ų į pastatą, gautinų sumų vertė – 23,75 tūkst. Eur, amortizacija –</w:t>
      </w:r>
      <w:r w:rsidRPr="00CC5112">
        <w:rPr>
          <w:rFonts w:eastAsia="Calibri"/>
          <w:lang w:eastAsia="en-US"/>
        </w:rPr>
        <w:t>5,</w:t>
      </w:r>
      <w:r w:rsidR="001A7298" w:rsidRPr="00CC5112">
        <w:rPr>
          <w:rFonts w:eastAsia="Calibri"/>
          <w:lang w:eastAsia="en-US"/>
        </w:rPr>
        <w:t>5</w:t>
      </w:r>
      <w:r w:rsidRPr="00CC5112">
        <w:rPr>
          <w:rFonts w:eastAsia="Calibri"/>
          <w:lang w:eastAsia="en-US"/>
        </w:rPr>
        <w:t xml:space="preserve">3 tūkst. Eur; gautinos sumos pagal dėl ekonominės krizės neproporcingai sumažinto darbo užmokesčio dalies grąžinimo įstatymą grąžintinam darbo užmokesčiui (kartu su gyventojų pajamų mokesčiu) bei socialinio draudimo įmokoms </w:t>
      </w:r>
      <w:r w:rsidR="00B71439" w:rsidRPr="00CC5112">
        <w:rPr>
          <w:rFonts w:eastAsia="Calibri"/>
          <w:lang w:eastAsia="en-US"/>
        </w:rPr>
        <w:t xml:space="preserve">– </w:t>
      </w:r>
      <w:r w:rsidR="00484A6E" w:rsidRPr="00CC5112">
        <w:rPr>
          <w:rFonts w:eastAsia="Calibri"/>
          <w:lang w:eastAsia="en-US"/>
        </w:rPr>
        <w:t>253,2</w:t>
      </w:r>
      <w:r w:rsidR="00553728" w:rsidRPr="00CC5112">
        <w:rPr>
          <w:rFonts w:eastAsia="Calibri"/>
          <w:lang w:eastAsia="en-US"/>
        </w:rPr>
        <w:t>3</w:t>
      </w:r>
      <w:r w:rsidRPr="00CC5112">
        <w:rPr>
          <w:rFonts w:eastAsia="Calibri"/>
          <w:lang w:eastAsia="en-US"/>
        </w:rPr>
        <w:t xml:space="preserve"> tūkst. Eur (Savivaldybės administracija ir Kontrolės ir audito tarnyba); grąžintinos finansavimo sumos, kurias Savivaldybės įmonė Šiaulių oro uostas 2015 metais panaudojo ne pagal sutartyje numatytą paskirtį </w:t>
      </w:r>
      <w:r w:rsidR="00B71439" w:rsidRPr="00CC5112">
        <w:rPr>
          <w:rFonts w:eastAsia="Calibri"/>
          <w:lang w:eastAsia="en-US"/>
        </w:rPr>
        <w:t xml:space="preserve">– </w:t>
      </w:r>
      <w:r w:rsidR="001A7298" w:rsidRPr="00CC5112">
        <w:rPr>
          <w:rFonts w:eastAsia="Calibri"/>
          <w:lang w:eastAsia="en-US"/>
        </w:rPr>
        <w:t>51,8</w:t>
      </w:r>
      <w:r w:rsidR="00484A6E" w:rsidRPr="00CC5112">
        <w:rPr>
          <w:rFonts w:eastAsia="Calibri"/>
          <w:lang w:eastAsia="en-US"/>
        </w:rPr>
        <w:t>6</w:t>
      </w:r>
      <w:r w:rsidRPr="00CC5112">
        <w:rPr>
          <w:rFonts w:eastAsia="Calibri"/>
          <w:lang w:eastAsia="en-US"/>
        </w:rPr>
        <w:t xml:space="preserve"> tūkst. Eur</w:t>
      </w:r>
      <w:r w:rsidR="004A697A" w:rsidRPr="00CC5112">
        <w:rPr>
          <w:rFonts w:eastAsia="Calibri"/>
          <w:lang w:eastAsia="en-US"/>
        </w:rPr>
        <w:t>.</w:t>
      </w:r>
    </w:p>
    <w:p w:rsidR="00203B52" w:rsidRPr="00CC5112" w:rsidRDefault="00203B52" w:rsidP="00280F38">
      <w:pPr>
        <w:suppressAutoHyphens w:val="0"/>
        <w:autoSpaceDE w:val="0"/>
        <w:autoSpaceDN w:val="0"/>
        <w:adjustRightInd w:val="0"/>
        <w:ind w:firstLine="1134"/>
        <w:jc w:val="both"/>
        <w:rPr>
          <w:bCs/>
        </w:rPr>
      </w:pPr>
      <w:r w:rsidRPr="00CC5112">
        <w:rPr>
          <w:bCs/>
        </w:rPr>
        <w:t xml:space="preserve">Ilgalaikiai terminuotieji indėliai – </w:t>
      </w:r>
      <w:r w:rsidR="00484A6E" w:rsidRPr="00CC5112">
        <w:rPr>
          <w:bCs/>
        </w:rPr>
        <w:t>1493,00</w:t>
      </w:r>
      <w:r w:rsidRPr="00CC5112">
        <w:rPr>
          <w:bCs/>
        </w:rPr>
        <w:t xml:space="preserve"> tūkst. Eur sudaro Šiaulių Juliaus Janonio gimnazijos g</w:t>
      </w:r>
      <w:r w:rsidRPr="00CC5112">
        <w:rPr>
          <w:rFonts w:ascii="TimesNewRomanPSMT" w:hAnsi="TimesNewRomanPSMT" w:cs="TimesNewRomanPSMT"/>
          <w:lang w:eastAsia="lt-LT"/>
        </w:rPr>
        <w:t>autos 2016 metais tikslinės lėšos (parama) p. K.Butkaus iš Australijos, skirtos ugdymo modernizavimo ir stipendijų fond</w:t>
      </w:r>
      <w:r w:rsidR="00400687" w:rsidRPr="00CC5112">
        <w:rPr>
          <w:rFonts w:ascii="TimesNewRomanPSMT" w:hAnsi="TimesNewRomanPSMT" w:cs="TimesNewRomanPSMT"/>
          <w:lang w:eastAsia="lt-LT"/>
        </w:rPr>
        <w:t>ams</w:t>
      </w:r>
      <w:r w:rsidRPr="00CC5112">
        <w:rPr>
          <w:rFonts w:ascii="TimesNewRomanPSMT" w:hAnsi="TimesNewRomanPSMT" w:cs="TimesNewRomanPSMT"/>
          <w:lang w:eastAsia="lt-LT"/>
        </w:rPr>
        <w:t>. Sudarytos ilgalaikės terminuotos sutartys.</w:t>
      </w:r>
    </w:p>
    <w:p w:rsidR="00203B52" w:rsidRPr="00CC5112" w:rsidRDefault="00203B52" w:rsidP="00280F38">
      <w:pPr>
        <w:ind w:firstLine="1134"/>
        <w:jc w:val="both"/>
        <w:rPr>
          <w:color w:val="000000"/>
          <w:lang w:eastAsia="lt-LT"/>
        </w:rPr>
      </w:pPr>
      <w:r w:rsidRPr="00CC5112">
        <w:rPr>
          <w:bCs/>
        </w:rPr>
        <w:t xml:space="preserve">Kitą ilgalaikį finansinį turtą – </w:t>
      </w:r>
      <w:r w:rsidR="00B84655" w:rsidRPr="00CC5112">
        <w:rPr>
          <w:bCs/>
        </w:rPr>
        <w:t>1393,22</w:t>
      </w:r>
      <w:r w:rsidRPr="00CC5112">
        <w:rPr>
          <w:bCs/>
        </w:rPr>
        <w:t xml:space="preserve"> tūkst. Eur sudaro</w:t>
      </w:r>
      <w:r w:rsidR="00A0648E" w:rsidRPr="00CC5112">
        <w:rPr>
          <w:bCs/>
        </w:rPr>
        <w:t>:</w:t>
      </w:r>
      <w:r w:rsidRPr="00CC5112">
        <w:rPr>
          <w:bCs/>
        </w:rPr>
        <w:t xml:space="preserve"> parduoti laikomas finansinis turtas</w:t>
      </w:r>
      <w:r w:rsidR="00A0648E" w:rsidRPr="00CC5112">
        <w:rPr>
          <w:bCs/>
        </w:rPr>
        <w:t xml:space="preserve"> – 1208,83 tūkst. Eur</w:t>
      </w:r>
      <w:r w:rsidRPr="00CC5112">
        <w:rPr>
          <w:bCs/>
        </w:rPr>
        <w:t>, kuris per 201</w:t>
      </w:r>
      <w:r w:rsidR="00B84655" w:rsidRPr="00CC5112">
        <w:rPr>
          <w:bCs/>
        </w:rPr>
        <w:t>7</w:t>
      </w:r>
      <w:r w:rsidRPr="00CC5112">
        <w:rPr>
          <w:bCs/>
        </w:rPr>
        <w:t xml:space="preserve"> m</w:t>
      </w:r>
      <w:r w:rsidR="003546D6">
        <w:rPr>
          <w:bCs/>
        </w:rPr>
        <w:t>.</w:t>
      </w:r>
      <w:r w:rsidRPr="00CC5112">
        <w:rPr>
          <w:bCs/>
        </w:rPr>
        <w:t xml:space="preserve"> </w:t>
      </w:r>
      <w:r w:rsidR="00B84655" w:rsidRPr="00CC5112">
        <w:rPr>
          <w:bCs/>
        </w:rPr>
        <w:t>padidėjo</w:t>
      </w:r>
      <w:r w:rsidRPr="00CC5112">
        <w:rPr>
          <w:bCs/>
        </w:rPr>
        <w:t xml:space="preserve"> </w:t>
      </w:r>
      <w:r w:rsidR="00A0648E" w:rsidRPr="00CC5112">
        <w:rPr>
          <w:bCs/>
        </w:rPr>
        <w:t>395,47</w:t>
      </w:r>
      <w:r w:rsidRPr="00CC5112">
        <w:rPr>
          <w:bCs/>
        </w:rPr>
        <w:t xml:space="preserve"> tūkst. Eur</w:t>
      </w:r>
      <w:r w:rsidR="00A0648E" w:rsidRPr="00CC5112">
        <w:rPr>
          <w:bCs/>
        </w:rPr>
        <w:t xml:space="preserve"> dėl tikrosios vertės pokyčio</w:t>
      </w:r>
      <w:r w:rsidRPr="00CC5112">
        <w:rPr>
          <w:bCs/>
        </w:rPr>
        <w:t xml:space="preserve">. Išankstiniai apmokėjimai už ilgalaikį finansinį turtą </w:t>
      </w:r>
      <w:r w:rsidR="00B84655" w:rsidRPr="00CC5112">
        <w:rPr>
          <w:bCs/>
        </w:rPr>
        <w:t xml:space="preserve">padidėjo ir sudaro 184,39 </w:t>
      </w:r>
      <w:r w:rsidRPr="00CC5112">
        <w:rPr>
          <w:bCs/>
        </w:rPr>
        <w:t>tūkst. Eur</w:t>
      </w:r>
      <w:r w:rsidR="00A0648E" w:rsidRPr="00CC5112">
        <w:rPr>
          <w:bCs/>
        </w:rPr>
        <w:t xml:space="preserve"> (tai projekto „Šiaulių miesto paviršinių nuotekų tvarkymo sistemos inventorizavimas, infrastruktūros rekonstravimas ir plėtra“)</w:t>
      </w:r>
      <w:r w:rsidRPr="00CC5112">
        <w:rPr>
          <w:rFonts w:eastAsia="Calibri"/>
          <w:lang w:eastAsia="en-US"/>
        </w:rPr>
        <w:t>.</w:t>
      </w:r>
    </w:p>
    <w:p w:rsidR="00203B52" w:rsidRPr="00CC5112" w:rsidRDefault="00203B52" w:rsidP="00280F38">
      <w:pPr>
        <w:tabs>
          <w:tab w:val="left" w:pos="915"/>
          <w:tab w:val="left" w:pos="1275"/>
        </w:tabs>
        <w:ind w:left="360" w:firstLine="1134"/>
        <w:jc w:val="both"/>
        <w:rPr>
          <w:b/>
          <w:bCs/>
        </w:rPr>
      </w:pPr>
    </w:p>
    <w:p w:rsidR="00D058AC" w:rsidRPr="00CC5112" w:rsidRDefault="00D058AC" w:rsidP="00280F38">
      <w:pPr>
        <w:tabs>
          <w:tab w:val="left" w:pos="915"/>
          <w:tab w:val="left" w:pos="1134"/>
        </w:tabs>
        <w:ind w:firstLine="1134"/>
        <w:jc w:val="both"/>
      </w:pPr>
      <w:r w:rsidRPr="00CC5112">
        <w:rPr>
          <w:b/>
          <w:bCs/>
        </w:rPr>
        <w:t xml:space="preserve">4. Biologinis turtas, pastaba Nr. P07. </w:t>
      </w:r>
      <w:r w:rsidRPr="00CC5112">
        <w:t>Biologinį turtą sudaro Šiaulių jaunųjų gamtininkų centro turimi žirgai, egzotiniai gyvūnai ir augalai</w:t>
      </w:r>
      <w:r w:rsidR="00B71439" w:rsidRPr="00CC5112">
        <w:t xml:space="preserve"> –</w:t>
      </w:r>
      <w:r w:rsidRPr="00CC5112">
        <w:t xml:space="preserve"> 15,</w:t>
      </w:r>
      <w:r w:rsidR="00A0648E" w:rsidRPr="00CC5112">
        <w:t>89</w:t>
      </w:r>
      <w:r w:rsidRPr="00CC5112">
        <w:t xml:space="preserve"> tūkst. Eur</w:t>
      </w:r>
      <w:r w:rsidR="00A0648E" w:rsidRPr="00CC5112">
        <w:t xml:space="preserve"> ir Šiaulių miesto savivaldybės administracijos simboline verte įvertinti parkai ir skverai – 0,01 tūkst. Eur</w:t>
      </w:r>
      <w:r w:rsidRPr="00CC5112">
        <w:t xml:space="preserve">. </w:t>
      </w:r>
    </w:p>
    <w:p w:rsidR="00D058AC" w:rsidRPr="00CC5112" w:rsidRDefault="005725E5" w:rsidP="00280F38">
      <w:pPr>
        <w:tabs>
          <w:tab w:val="left" w:pos="1134"/>
          <w:tab w:val="left" w:pos="1275"/>
        </w:tabs>
        <w:ind w:firstLine="1134"/>
        <w:jc w:val="both"/>
        <w:rPr>
          <w:b/>
          <w:bCs/>
        </w:rPr>
      </w:pPr>
      <w:r w:rsidRPr="00CC5112">
        <w:rPr>
          <w:b/>
          <w:bCs/>
        </w:rPr>
        <w:tab/>
      </w:r>
    </w:p>
    <w:p w:rsidR="00D058AC" w:rsidRPr="00CC5112" w:rsidRDefault="00D058AC" w:rsidP="00280F38">
      <w:pPr>
        <w:tabs>
          <w:tab w:val="left" w:pos="1134"/>
          <w:tab w:val="left" w:pos="1275"/>
        </w:tabs>
        <w:ind w:firstLine="1134"/>
        <w:jc w:val="both"/>
      </w:pPr>
      <w:r w:rsidRPr="00CC5112">
        <w:rPr>
          <w:b/>
          <w:bCs/>
        </w:rPr>
        <w:t>5. Atsargos, pastaba Nr. P08.</w:t>
      </w:r>
      <w:r w:rsidRPr="00CC5112">
        <w:t xml:space="preserve"> Informacija apie atsargų vertę pagal grupes pateikta aiškinamojo rašto priede Nr. P8.</w:t>
      </w:r>
    </w:p>
    <w:p w:rsidR="00D058AC" w:rsidRPr="00CC5112" w:rsidRDefault="00D058AC" w:rsidP="00280F38">
      <w:pPr>
        <w:tabs>
          <w:tab w:val="left" w:pos="1134"/>
          <w:tab w:val="left" w:pos="1275"/>
        </w:tabs>
        <w:ind w:firstLine="1134"/>
        <w:jc w:val="both"/>
      </w:pPr>
      <w:r w:rsidRPr="00CC5112">
        <w:t xml:space="preserve">Atsargų balansinė vertė laikotarpio pabaigai – </w:t>
      </w:r>
      <w:r w:rsidR="00A40D49" w:rsidRPr="00CC5112">
        <w:t>793,16</w:t>
      </w:r>
      <w:r w:rsidRPr="00CC5112">
        <w:t xml:space="preserve"> tūkst. Eur. Didžiąją atsargų dalį sudarė medžiagos, žaliavos ir ūkinis inventorius – </w:t>
      </w:r>
      <w:r w:rsidR="00A40D49" w:rsidRPr="00CC5112">
        <w:t>591,65</w:t>
      </w:r>
      <w:r w:rsidRPr="00CC5112">
        <w:t xml:space="preserve"> tūkst. Eur</w:t>
      </w:r>
      <w:r w:rsidR="00A40D49" w:rsidRPr="00CC5112">
        <w:t xml:space="preserve"> ir i</w:t>
      </w:r>
      <w:r w:rsidRPr="00CC5112">
        <w:t xml:space="preserve">lgalaikis materialusis ir biologinis turtas, skirtas parduoti – </w:t>
      </w:r>
      <w:r w:rsidR="00A40D49" w:rsidRPr="00CC5112">
        <w:t>199,72</w:t>
      </w:r>
      <w:r w:rsidRPr="00CC5112">
        <w:t xml:space="preserve"> tūkst. Eur.</w:t>
      </w:r>
    </w:p>
    <w:p w:rsidR="00D058AC" w:rsidRPr="00CC5112" w:rsidRDefault="00D058AC" w:rsidP="00280F38">
      <w:pPr>
        <w:tabs>
          <w:tab w:val="left" w:pos="915"/>
          <w:tab w:val="left" w:pos="1275"/>
        </w:tabs>
        <w:ind w:firstLine="1134"/>
        <w:jc w:val="both"/>
        <w:rPr>
          <w:b/>
          <w:bCs/>
        </w:rPr>
      </w:pPr>
      <w:r w:rsidRPr="00CC5112">
        <w:rPr>
          <w:b/>
          <w:bCs/>
        </w:rPr>
        <w:tab/>
        <w:t xml:space="preserve"> </w:t>
      </w:r>
    </w:p>
    <w:p w:rsidR="00D058AC" w:rsidRPr="00CC5112" w:rsidRDefault="00D058AC" w:rsidP="00280F38">
      <w:pPr>
        <w:tabs>
          <w:tab w:val="left" w:pos="915"/>
          <w:tab w:val="left" w:pos="1275"/>
        </w:tabs>
        <w:ind w:firstLine="1134"/>
        <w:jc w:val="both"/>
        <w:rPr>
          <w:b/>
          <w:bCs/>
        </w:rPr>
      </w:pPr>
      <w:r w:rsidRPr="00CC5112">
        <w:rPr>
          <w:b/>
          <w:bCs/>
        </w:rPr>
        <w:t xml:space="preserve">6. </w:t>
      </w:r>
      <w:r w:rsidRPr="00CC5112">
        <w:rPr>
          <w:b/>
        </w:rPr>
        <w:t>Išankstiniai apmokėjimai, pastaba Nr. P09.</w:t>
      </w:r>
      <w:r w:rsidRPr="00CC5112">
        <w:t xml:space="preserve"> Informacija apie išankstinius apmokėjimus pateikta aiškinamojo rašto priede Nr. P9.</w:t>
      </w:r>
    </w:p>
    <w:p w:rsidR="00D058AC" w:rsidRPr="00CC5112" w:rsidRDefault="00D058AC" w:rsidP="00280F38">
      <w:pPr>
        <w:tabs>
          <w:tab w:val="left" w:pos="915"/>
          <w:tab w:val="left" w:pos="1275"/>
        </w:tabs>
        <w:ind w:firstLine="1134"/>
        <w:jc w:val="both"/>
        <w:rPr>
          <w:bCs/>
        </w:rPr>
      </w:pPr>
      <w:r w:rsidRPr="00CC5112">
        <w:rPr>
          <w:bCs/>
        </w:rPr>
        <w:t>Lyginant 201</w:t>
      </w:r>
      <w:r w:rsidR="00F201E9" w:rsidRPr="00CC5112">
        <w:rPr>
          <w:bCs/>
        </w:rPr>
        <w:t>7</w:t>
      </w:r>
      <w:r w:rsidRPr="00CC5112">
        <w:rPr>
          <w:bCs/>
        </w:rPr>
        <w:t xml:space="preserve"> m. su 201</w:t>
      </w:r>
      <w:r w:rsidR="00F201E9" w:rsidRPr="00CC5112">
        <w:rPr>
          <w:bCs/>
        </w:rPr>
        <w:t>6</w:t>
      </w:r>
      <w:r w:rsidRPr="00CC5112">
        <w:rPr>
          <w:bCs/>
        </w:rPr>
        <w:t xml:space="preserve"> m. išankstinių ap</w:t>
      </w:r>
      <w:r w:rsidR="00F201E9" w:rsidRPr="00CC5112">
        <w:rPr>
          <w:bCs/>
        </w:rPr>
        <w:t xml:space="preserve">mokėjimų balansinė vertė sumažėjo 1455,54 </w:t>
      </w:r>
      <w:r w:rsidRPr="00CC5112">
        <w:rPr>
          <w:bCs/>
        </w:rPr>
        <w:t xml:space="preserve">tūkst. Eur arba </w:t>
      </w:r>
      <w:r w:rsidR="00F201E9" w:rsidRPr="00CC5112">
        <w:rPr>
          <w:bCs/>
        </w:rPr>
        <w:t>87,6</w:t>
      </w:r>
      <w:r w:rsidRPr="00CC5112">
        <w:rPr>
          <w:bCs/>
        </w:rPr>
        <w:t xml:space="preserve"> proc. Didžiąją dalį išankstinių apmokėjimų sudarė išankstiniai apmokėjimai tiekėjams – </w:t>
      </w:r>
      <w:r w:rsidR="00F201E9" w:rsidRPr="00CC5112">
        <w:rPr>
          <w:bCs/>
        </w:rPr>
        <w:t>48,49</w:t>
      </w:r>
      <w:r w:rsidRPr="00CC5112">
        <w:rPr>
          <w:bCs/>
        </w:rPr>
        <w:t xml:space="preserve"> tūkst. Eur ir ateinančių laikotarpių sąnaudos ne VSS pavedimams vykdyti – </w:t>
      </w:r>
      <w:r w:rsidR="00F201E9" w:rsidRPr="00CC5112">
        <w:rPr>
          <w:bCs/>
        </w:rPr>
        <w:t>114,74</w:t>
      </w:r>
      <w:r w:rsidRPr="00CC5112">
        <w:rPr>
          <w:bCs/>
        </w:rPr>
        <w:t xml:space="preserve"> tūkst. Eur.</w:t>
      </w:r>
    </w:p>
    <w:p w:rsidR="002A23D5" w:rsidRPr="00CC5112" w:rsidRDefault="002A23D5" w:rsidP="00280F38">
      <w:pPr>
        <w:tabs>
          <w:tab w:val="left" w:pos="915"/>
          <w:tab w:val="left" w:pos="1275"/>
        </w:tabs>
        <w:ind w:left="360" w:firstLine="1134"/>
        <w:jc w:val="both"/>
        <w:rPr>
          <w:b/>
          <w:bCs/>
        </w:rPr>
      </w:pPr>
    </w:p>
    <w:p w:rsidR="00D058AC" w:rsidRPr="00CC5112" w:rsidRDefault="00D058AC" w:rsidP="00280F38">
      <w:pPr>
        <w:tabs>
          <w:tab w:val="left" w:pos="915"/>
          <w:tab w:val="left" w:pos="1275"/>
        </w:tabs>
        <w:ind w:firstLine="1134"/>
        <w:jc w:val="both"/>
      </w:pPr>
      <w:r w:rsidRPr="00CC5112">
        <w:rPr>
          <w:b/>
          <w:bCs/>
        </w:rPr>
        <w:t xml:space="preserve">7. </w:t>
      </w:r>
      <w:r w:rsidRPr="00CC5112">
        <w:rPr>
          <w:b/>
        </w:rPr>
        <w:t>Per vienerius metus gautinos sumos, pastaba P10</w:t>
      </w:r>
      <w:r w:rsidRPr="00CC5112">
        <w:t>. Informacija apie per vienerius metus gautinas sumas pateikta aiškinamojo rašto priede Nr. P10.</w:t>
      </w:r>
    </w:p>
    <w:p w:rsidR="00D058AC" w:rsidRPr="00CC5112" w:rsidRDefault="00D058AC" w:rsidP="00280F38">
      <w:pPr>
        <w:tabs>
          <w:tab w:val="left" w:pos="915"/>
          <w:tab w:val="left" w:pos="1275"/>
        </w:tabs>
        <w:ind w:firstLine="1134"/>
        <w:jc w:val="both"/>
      </w:pPr>
      <w:r w:rsidRPr="00CC5112">
        <w:t xml:space="preserve">Gautinos trumpalaikės finansinės sumos – </w:t>
      </w:r>
      <w:r w:rsidR="00F201E9" w:rsidRPr="00CC5112">
        <w:t>21,87</w:t>
      </w:r>
      <w:r w:rsidRPr="00CC5112">
        <w:t xml:space="preserve"> tūkst. Eur sudaro </w:t>
      </w:r>
      <w:r w:rsidRPr="00CC5112">
        <w:rPr>
          <w:rFonts w:eastAsia="Calibri"/>
          <w:lang w:eastAsia="en-US"/>
        </w:rPr>
        <w:t>savivaldybės administracijos iš Privatizavimo fondo perimtos</w:t>
      </w:r>
      <w:r w:rsidRPr="00CC5112">
        <w:rPr>
          <w:bCs/>
        </w:rPr>
        <w:t xml:space="preserve"> suteiktos beprocentinės ilgalaikės paskolos dalies einamųjų metų likutis įvertinus nuvertėjimą.</w:t>
      </w:r>
    </w:p>
    <w:p w:rsidR="00D058AC" w:rsidRPr="00CC5112" w:rsidRDefault="00D058AC" w:rsidP="00280F38">
      <w:pPr>
        <w:tabs>
          <w:tab w:val="left" w:pos="915"/>
          <w:tab w:val="left" w:pos="1275"/>
        </w:tabs>
        <w:ind w:firstLine="1134"/>
        <w:jc w:val="both"/>
      </w:pPr>
      <w:r w:rsidRPr="00CC5112">
        <w:t xml:space="preserve">Didžiąją dalį gautinų mokesčių – </w:t>
      </w:r>
      <w:r w:rsidR="00F201E9" w:rsidRPr="00CC5112">
        <w:t>1839,69</w:t>
      </w:r>
      <w:r w:rsidRPr="00CC5112">
        <w:t xml:space="preserve"> tūkst. Eur sudaro: į Valstybinės mokesčių inspekcijos prie Lietuvos Respublikos finansų ministerijos banko sąskaitą įplaukusio gyventojų pajamų mokesčio suma – </w:t>
      </w:r>
      <w:r w:rsidR="005D3CAF" w:rsidRPr="00CC5112">
        <w:t>1838,35</w:t>
      </w:r>
      <w:r w:rsidRPr="00CC5112">
        <w:t xml:space="preserve"> tūkst. Eur, kuri </w:t>
      </w:r>
      <w:r w:rsidR="001E2FB6" w:rsidRPr="00CC5112">
        <w:t xml:space="preserve">iki 2017-12-31 </w:t>
      </w:r>
      <w:r w:rsidRPr="00CC5112">
        <w:t xml:space="preserve">liko nepervesta savivaldybei. </w:t>
      </w:r>
    </w:p>
    <w:p w:rsidR="00D058AC" w:rsidRPr="00CC5112" w:rsidRDefault="00D058AC" w:rsidP="00280F38">
      <w:pPr>
        <w:tabs>
          <w:tab w:val="left" w:pos="915"/>
          <w:tab w:val="left" w:pos="1275"/>
        </w:tabs>
        <w:ind w:firstLine="1134"/>
        <w:jc w:val="both"/>
      </w:pPr>
      <w:r w:rsidRPr="00CC5112">
        <w:t xml:space="preserve">Sukauptas gautinas finansavimo sumas – </w:t>
      </w:r>
      <w:r w:rsidR="005D3CAF" w:rsidRPr="00CC5112">
        <w:t>4474,22</w:t>
      </w:r>
      <w:r w:rsidRPr="00CC5112">
        <w:t xml:space="preserve"> tūkst. Eur sudaro gautinos sumos pagal VSS subjektų pateiktas pažymas dėl finansavimo sumų iš Valstybės biudžeto, mokesčių pajamų ir kitos gautinos sumos.</w:t>
      </w:r>
    </w:p>
    <w:p w:rsidR="00D058AC" w:rsidRPr="00CC5112" w:rsidRDefault="00D058AC" w:rsidP="00280F38">
      <w:pPr>
        <w:suppressAutoHyphens w:val="0"/>
        <w:autoSpaceDE w:val="0"/>
        <w:autoSpaceDN w:val="0"/>
        <w:adjustRightInd w:val="0"/>
        <w:ind w:firstLine="1134"/>
        <w:jc w:val="both"/>
      </w:pPr>
      <w:r w:rsidRPr="00CC5112">
        <w:t xml:space="preserve">Kitos gautinos sumos – </w:t>
      </w:r>
      <w:r w:rsidR="005D3CAF" w:rsidRPr="00CC5112">
        <w:t>428,70</w:t>
      </w:r>
      <w:r w:rsidRPr="00CC5112">
        <w:t xml:space="preserve"> tūkst. Eur sudaro vietinės rinkliavos, gautini delspinigiai, VSS mokesčių permokos</w:t>
      </w:r>
      <w:r w:rsidR="00430B19" w:rsidRPr="00CC5112">
        <w:t xml:space="preserve"> ir Šiaulių miesto savivaldybės viešosios bibliotekos </w:t>
      </w:r>
      <w:r w:rsidR="00430B19" w:rsidRPr="00CC5112">
        <w:rPr>
          <w:rFonts w:ascii="LiberationSerif" w:hAnsi="LiberationSerif" w:cs="LiberationSerif"/>
          <w:lang w:eastAsia="lt-LT"/>
        </w:rPr>
        <w:t>vykdomo projekto „Novatoriškų bibliotekų sprendimų skirtingoms kartoms plėtra pasienio regione“</w:t>
      </w:r>
      <w:r w:rsidR="001E2FB6" w:rsidRPr="00CC5112">
        <w:rPr>
          <w:rFonts w:ascii="LiberationSerif" w:hAnsi="LiberationSerif" w:cs="LiberationSerif"/>
          <w:lang w:eastAsia="lt-LT"/>
        </w:rPr>
        <w:t>, neįvertinus nuvertėjimo</w:t>
      </w:r>
      <w:r w:rsidRPr="00CC5112">
        <w:t>.</w:t>
      </w:r>
    </w:p>
    <w:p w:rsidR="00430B19" w:rsidRPr="00CC5112" w:rsidRDefault="00430B19" w:rsidP="00280F38">
      <w:pPr>
        <w:suppressAutoHyphens w:val="0"/>
        <w:autoSpaceDE w:val="0"/>
        <w:autoSpaceDN w:val="0"/>
        <w:adjustRightInd w:val="0"/>
        <w:ind w:firstLine="1134"/>
      </w:pPr>
    </w:p>
    <w:p w:rsidR="00586EDF" w:rsidRPr="00CC5112" w:rsidRDefault="00586EDF" w:rsidP="00280F38">
      <w:pPr>
        <w:tabs>
          <w:tab w:val="left" w:pos="915"/>
          <w:tab w:val="left" w:pos="1275"/>
        </w:tabs>
        <w:ind w:firstLine="1134"/>
        <w:jc w:val="both"/>
        <w:rPr>
          <w:b/>
        </w:rPr>
      </w:pPr>
      <w:r w:rsidRPr="00CC5112">
        <w:rPr>
          <w:b/>
        </w:rPr>
        <w:t>8. Pinigai ir pinigų ekvivalentai.</w:t>
      </w:r>
    </w:p>
    <w:p w:rsidR="00586EDF" w:rsidRPr="00CC5112" w:rsidRDefault="00586EDF" w:rsidP="00280F38">
      <w:pPr>
        <w:tabs>
          <w:tab w:val="left" w:pos="915"/>
          <w:tab w:val="left" w:pos="1275"/>
        </w:tabs>
        <w:ind w:firstLine="1134"/>
        <w:jc w:val="both"/>
      </w:pPr>
      <w:r w:rsidRPr="00CC5112">
        <w:t xml:space="preserve">Pinigai ir pinigų ekvivalentai ataskaitinio laikotarpio pabaigai – </w:t>
      </w:r>
      <w:r w:rsidR="00430B19" w:rsidRPr="00CC5112">
        <w:t>21326,01</w:t>
      </w:r>
      <w:r w:rsidRPr="00CC5112">
        <w:t xml:space="preserve"> tūkst. Eur. </w:t>
      </w:r>
    </w:p>
    <w:p w:rsidR="00586EDF" w:rsidRPr="00CC5112" w:rsidRDefault="00586EDF" w:rsidP="00280F38">
      <w:pPr>
        <w:tabs>
          <w:tab w:val="left" w:pos="915"/>
          <w:tab w:val="left" w:pos="1275"/>
        </w:tabs>
        <w:ind w:firstLine="1134"/>
        <w:jc w:val="both"/>
      </w:pPr>
      <w:r w:rsidRPr="00CC5112">
        <w:t xml:space="preserve">Pinigų likutį iždo sąskaitose – </w:t>
      </w:r>
      <w:r w:rsidR="00430B19" w:rsidRPr="00CC5112">
        <w:t xml:space="preserve">15364,88 </w:t>
      </w:r>
      <w:r w:rsidRPr="00CC5112">
        <w:t xml:space="preserve">tūkst. Eur sudaro: Europos sąjungos lėšos – </w:t>
      </w:r>
      <w:r w:rsidR="00042536" w:rsidRPr="00CC5112">
        <w:t>337,26</w:t>
      </w:r>
      <w:r w:rsidR="00430B19" w:rsidRPr="00CC5112">
        <w:t xml:space="preserve"> </w:t>
      </w:r>
      <w:r w:rsidRPr="00CC5112">
        <w:t xml:space="preserve">tūkst. Eur, savivaldybės biudžeto lėšos – </w:t>
      </w:r>
      <w:r w:rsidR="00042536" w:rsidRPr="00CC5112">
        <w:t>14295,</w:t>
      </w:r>
      <w:r w:rsidR="00B07381" w:rsidRPr="00CC5112">
        <w:t>53</w:t>
      </w:r>
      <w:r w:rsidRPr="00CC5112">
        <w:t xml:space="preserve"> tūkst. Eur, skolintų lėšų likutis – </w:t>
      </w:r>
      <w:r w:rsidR="00042536" w:rsidRPr="00CC5112">
        <w:t>7</w:t>
      </w:r>
      <w:r w:rsidR="004C52E6" w:rsidRPr="00CC5112">
        <w:t>2</w:t>
      </w:r>
      <w:r w:rsidR="00430B19" w:rsidRPr="00CC5112">
        <w:t>,</w:t>
      </w:r>
      <w:r w:rsidR="00042536" w:rsidRPr="00CC5112">
        <w:t>41</w:t>
      </w:r>
      <w:r w:rsidRPr="00CC5112">
        <w:t xml:space="preserve"> tūkst. Eur, asignavimų valdytojams negrąžintos pajamos už atsitiktines paslaugas ir įmokos už išlaikymą švietimo ir kitose įstaigose – </w:t>
      </w:r>
      <w:r w:rsidR="004C52E6" w:rsidRPr="00CC5112">
        <w:t>659,68</w:t>
      </w:r>
      <w:r w:rsidRPr="00CC5112">
        <w:t xml:space="preserve"> tūkst. Eur. </w:t>
      </w:r>
    </w:p>
    <w:p w:rsidR="00586EDF" w:rsidRPr="00CC5112" w:rsidRDefault="00586EDF" w:rsidP="00280F38">
      <w:pPr>
        <w:tabs>
          <w:tab w:val="left" w:pos="915"/>
          <w:tab w:val="left" w:pos="1275"/>
        </w:tabs>
        <w:ind w:firstLine="1134"/>
        <w:jc w:val="both"/>
      </w:pPr>
      <w:r w:rsidRPr="00CC5112">
        <w:t xml:space="preserve">VSS lėšų likučius bankų sąskaitose – </w:t>
      </w:r>
      <w:r w:rsidR="00B07381" w:rsidRPr="00CC5112">
        <w:t>5961,13</w:t>
      </w:r>
      <w:r w:rsidRPr="00CC5112">
        <w:t xml:space="preserve"> tūkst. Eur sudaro: Šiaulių Juliaus Janonio gimnazija – </w:t>
      </w:r>
      <w:r w:rsidR="00B07381" w:rsidRPr="00CC5112">
        <w:t>2718,15</w:t>
      </w:r>
      <w:r w:rsidRPr="00CC5112">
        <w:t xml:space="preserve"> tūkst. Eur (tarptautinio projekto, paramos, K.Butkaus ugdymo modernizavimo fondo, K.Butkaus stipendijų fondo lėšos), Savivaldybės administracija – </w:t>
      </w:r>
      <w:r w:rsidR="00B07381" w:rsidRPr="00CC5112">
        <w:t>500,35</w:t>
      </w:r>
      <w:r w:rsidRPr="00CC5112">
        <w:t xml:space="preserve"> tūkst. Eur, VšĮ Šiaulių reabilitacijos centras – </w:t>
      </w:r>
      <w:r w:rsidR="0084138C" w:rsidRPr="00CC5112">
        <w:t>264,70</w:t>
      </w:r>
      <w:r w:rsidRPr="00CC5112">
        <w:t xml:space="preserve"> tūkst. Eur, VšĮ Šiaulių greitosios medicinos pagalbos stotis – </w:t>
      </w:r>
      <w:r w:rsidR="0084138C" w:rsidRPr="00CC5112">
        <w:t>364,35</w:t>
      </w:r>
      <w:r w:rsidRPr="00CC5112">
        <w:t xml:space="preserve"> tūkst. Eur, VšĮ Šiaulių centro poliklinika – </w:t>
      </w:r>
      <w:r w:rsidR="0084138C" w:rsidRPr="00CC5112">
        <w:t>344,73</w:t>
      </w:r>
      <w:r w:rsidRPr="00CC5112">
        <w:t xml:space="preserve"> tūkst. Eur, VšĮ Dainų pirminės sveikatos priežiūros centras – </w:t>
      </w:r>
      <w:r w:rsidR="0084138C" w:rsidRPr="00CC5112">
        <w:t>234,66</w:t>
      </w:r>
      <w:r w:rsidRPr="00CC5112">
        <w:t xml:space="preserve"> tūkst. Eur, VšĮ Šiaulių ilgalaikio gydymo ir geriatrijos centras – </w:t>
      </w:r>
      <w:r w:rsidR="0084138C" w:rsidRPr="00CC5112">
        <w:t>327,49</w:t>
      </w:r>
      <w:r w:rsidRPr="00CC5112">
        <w:t xml:space="preserve"> tūkst. Eur, Šiaulių miesto savivaldybės socialinių paslaugų centras – </w:t>
      </w:r>
      <w:r w:rsidR="0084138C" w:rsidRPr="00CC5112">
        <w:t>133,92</w:t>
      </w:r>
      <w:r w:rsidRPr="00CC5112">
        <w:t xml:space="preserve"> tūkst. Eur, </w:t>
      </w:r>
      <w:r w:rsidR="0084138C" w:rsidRPr="00CC5112">
        <w:t xml:space="preserve">Šiaulių Didždvario gimnazija – 79,39 tūkst. Eur, Šiaulių miesto savivaldybės globos namai – 47,27 tūkst. Eur, Šiaulių miesto savivaldybės švietimo centras – 125,67 tūkst. Eur, Šiaulių Romuvos gimnazija – 63,67 tūkst. Eur, Šiaulių Romuvos progimnazija – 73,25 tūkst. Eur, Šiaulių Kultūros centras – 47,85 tūkst. Eur,  </w:t>
      </w:r>
      <w:r w:rsidRPr="00CC5112">
        <w:t xml:space="preserve">ir kitų VSS sąskaitų likučiai – </w:t>
      </w:r>
      <w:r w:rsidR="00B06BD9" w:rsidRPr="00CC5112">
        <w:t>635,68</w:t>
      </w:r>
      <w:r w:rsidRPr="00CC5112">
        <w:t xml:space="preserve"> tūkst. Eur.</w:t>
      </w:r>
    </w:p>
    <w:p w:rsidR="00586EDF" w:rsidRPr="00CC5112" w:rsidRDefault="00586EDF" w:rsidP="00280F38">
      <w:pPr>
        <w:tabs>
          <w:tab w:val="left" w:pos="915"/>
          <w:tab w:val="left" w:pos="1275"/>
        </w:tabs>
        <w:ind w:firstLine="1134"/>
        <w:jc w:val="both"/>
        <w:rPr>
          <w:b/>
          <w:bCs/>
        </w:rPr>
      </w:pPr>
    </w:p>
    <w:p w:rsidR="00586EDF" w:rsidRPr="00CC5112" w:rsidRDefault="00586EDF" w:rsidP="00280F38">
      <w:pPr>
        <w:tabs>
          <w:tab w:val="left" w:pos="915"/>
          <w:tab w:val="left" w:pos="1275"/>
        </w:tabs>
        <w:ind w:firstLine="1134"/>
        <w:jc w:val="both"/>
      </w:pPr>
      <w:r w:rsidRPr="00CC5112">
        <w:rPr>
          <w:b/>
          <w:bCs/>
        </w:rPr>
        <w:t xml:space="preserve">9. </w:t>
      </w:r>
      <w:r w:rsidRPr="00CC5112">
        <w:rPr>
          <w:b/>
        </w:rPr>
        <w:t>Finansavimo sumos, pastaba Nr. P12</w:t>
      </w:r>
      <w:r w:rsidRPr="00CC5112">
        <w:t>. Informacija apie finansavimo sumas pagal šaltinį, tikslinę paskirtį, jų pokyčius per ataskaitinį laikotarpį pateikta aiškinamojo rašto priede Nr. P12.</w:t>
      </w:r>
    </w:p>
    <w:p w:rsidR="00586EDF" w:rsidRPr="00CC5112" w:rsidRDefault="00586EDF" w:rsidP="00280F38">
      <w:pPr>
        <w:tabs>
          <w:tab w:val="left" w:pos="915"/>
          <w:tab w:val="left" w:pos="1275"/>
        </w:tabs>
        <w:ind w:firstLine="1134"/>
        <w:jc w:val="both"/>
      </w:pPr>
      <w:r w:rsidRPr="00CC5112">
        <w:t xml:space="preserve"> Finansavimo sumos iš valstybės biudžeto ataskaitinio laikotarpio pabaigoje – </w:t>
      </w:r>
      <w:r w:rsidR="00553728" w:rsidRPr="00CC5112">
        <w:t>38972,73</w:t>
      </w:r>
      <w:r w:rsidRPr="00CC5112">
        <w:t xml:space="preserve"> tūkst. Eur, iš Europos Sąjungos, užsienio valstybių ir tarptautinių organizacijų – </w:t>
      </w:r>
      <w:r w:rsidR="00553728" w:rsidRPr="00CC5112">
        <w:t>40254,06</w:t>
      </w:r>
      <w:r w:rsidRPr="00CC5112">
        <w:t xml:space="preserve"> tūkst. Eur, iš kitų šaltinių –  </w:t>
      </w:r>
      <w:r w:rsidR="00553728" w:rsidRPr="00CC5112">
        <w:t>23139,86</w:t>
      </w:r>
      <w:r w:rsidRPr="00CC5112">
        <w:t xml:space="preserve"> tūkst. Eur. Iš viso finansavimo sumų – </w:t>
      </w:r>
      <w:r w:rsidR="00553728" w:rsidRPr="00CC5112">
        <w:t>102366,65</w:t>
      </w:r>
      <w:r w:rsidRPr="00CC5112">
        <w:t xml:space="preserve"> tūkst. Eur. </w:t>
      </w:r>
    </w:p>
    <w:p w:rsidR="00586EDF" w:rsidRPr="00CC5112" w:rsidRDefault="00586EDF" w:rsidP="00280F38">
      <w:pPr>
        <w:tabs>
          <w:tab w:val="left" w:pos="915"/>
          <w:tab w:val="left" w:pos="1275"/>
        </w:tabs>
        <w:ind w:firstLine="1134"/>
        <w:jc w:val="both"/>
      </w:pPr>
      <w:r w:rsidRPr="00CC5112">
        <w:t xml:space="preserve">Finansavimo sumų ataskaitinio laikotarpio pabaigoje iš Savivaldybės konsoliduotose ataskaitose likučio nėra. Visos sumos eliminuojamos derinamose ir nederinamose operacijose. </w:t>
      </w:r>
    </w:p>
    <w:p w:rsidR="002A23D5" w:rsidRPr="00CC5112" w:rsidRDefault="002A23D5" w:rsidP="00280F38">
      <w:pPr>
        <w:tabs>
          <w:tab w:val="left" w:pos="915"/>
          <w:tab w:val="left" w:pos="1275"/>
        </w:tabs>
        <w:ind w:left="360" w:firstLine="1134"/>
        <w:jc w:val="both"/>
        <w:rPr>
          <w:b/>
          <w:bCs/>
        </w:rPr>
      </w:pPr>
    </w:p>
    <w:p w:rsidR="00586EDF" w:rsidRPr="00CC5112" w:rsidRDefault="00586EDF" w:rsidP="00280F38">
      <w:pPr>
        <w:tabs>
          <w:tab w:val="left" w:pos="915"/>
          <w:tab w:val="left" w:pos="1275"/>
        </w:tabs>
        <w:ind w:firstLine="1134"/>
        <w:jc w:val="both"/>
      </w:pPr>
      <w:r w:rsidRPr="00CC5112">
        <w:rPr>
          <w:b/>
          <w:bCs/>
        </w:rPr>
        <w:t>10. Ilgalaikiai f</w:t>
      </w:r>
      <w:r w:rsidRPr="00CC5112">
        <w:rPr>
          <w:b/>
        </w:rPr>
        <w:t>inansiniai įsipareigojimai ir ilgalaikių įsipareigojimų einamųjų metų dalis</w:t>
      </w:r>
      <w:r w:rsidRPr="00CC5112">
        <w:t xml:space="preserve">, </w:t>
      </w:r>
      <w:r w:rsidRPr="00CC5112">
        <w:rPr>
          <w:b/>
        </w:rPr>
        <w:t>pastabos Nr. P13, P14.</w:t>
      </w:r>
      <w:r w:rsidRPr="00CC5112">
        <w:t xml:space="preserve"> Informacija apie finansinių įsipareigojimų pokytį per ataskaitinį laikotarpį pateikta aiškinamojo rašto priede Nr. P13. Informacija apie paskolų įvykdymo terminus ir palūkanų normas pateikta aiškinamojo rašto priede Nr. P14.</w:t>
      </w:r>
    </w:p>
    <w:p w:rsidR="00586EDF" w:rsidRPr="00CC5112" w:rsidRDefault="00586EDF" w:rsidP="00280F38">
      <w:pPr>
        <w:tabs>
          <w:tab w:val="left" w:pos="915"/>
          <w:tab w:val="left" w:pos="1275"/>
        </w:tabs>
        <w:ind w:firstLine="1134"/>
        <w:jc w:val="both"/>
      </w:pPr>
      <w:r w:rsidRPr="00CC5112">
        <w:t xml:space="preserve">Ataskaitinio laikotarpio pabaigai ilgalaikiai finansiniai įsipareigojimai (gautos paskolos) sudarė </w:t>
      </w:r>
      <w:r w:rsidR="00553728" w:rsidRPr="00CC5112">
        <w:t>6207,00</w:t>
      </w:r>
      <w:r w:rsidRPr="00CC5112">
        <w:t xml:space="preserve"> tūkst. Eur. </w:t>
      </w:r>
    </w:p>
    <w:p w:rsidR="00586EDF" w:rsidRPr="00CC5112" w:rsidRDefault="00586EDF" w:rsidP="00280F38">
      <w:pPr>
        <w:tabs>
          <w:tab w:val="left" w:pos="915"/>
          <w:tab w:val="left" w:pos="1275"/>
        </w:tabs>
        <w:ind w:firstLine="1134"/>
        <w:jc w:val="both"/>
      </w:pPr>
      <w:r w:rsidRPr="00CC5112">
        <w:t xml:space="preserve">Kiti ilgalaikiai įsipareigojimai – </w:t>
      </w:r>
      <w:r w:rsidR="00553728" w:rsidRPr="00CC5112">
        <w:t>253,23</w:t>
      </w:r>
      <w:r w:rsidRPr="00CC5112">
        <w:t xml:space="preserve"> </w:t>
      </w:r>
      <w:r w:rsidR="00B71439" w:rsidRPr="00CC5112">
        <w:t xml:space="preserve">tūkst. </w:t>
      </w:r>
      <w:r w:rsidRPr="00CC5112">
        <w:t>Eur, kuriuos sudaro: pagal dėl ekonomikos krizės neproporcingai sumažinto darbo užmokesčio dalies grąžinimo įstatymą 201</w:t>
      </w:r>
      <w:r w:rsidR="00553728" w:rsidRPr="00CC5112">
        <w:t>8</w:t>
      </w:r>
      <w:r w:rsidRPr="00CC5112">
        <w:t>-2020 metais grąžintinas darbo užmokestis ir socialinio draudimo įmokos</w:t>
      </w:r>
      <w:r w:rsidR="00553728" w:rsidRPr="00CC5112">
        <w:t xml:space="preserve"> </w:t>
      </w:r>
      <w:r w:rsidR="00553728" w:rsidRPr="00CC5112">
        <w:rPr>
          <w:rFonts w:eastAsia="Calibri"/>
          <w:lang w:eastAsia="en-US"/>
        </w:rPr>
        <w:t>(Savivaldybės administracija ir Kontrolės ir audito tarnyba)</w:t>
      </w:r>
      <w:r w:rsidRPr="00CC5112">
        <w:t>.</w:t>
      </w:r>
    </w:p>
    <w:p w:rsidR="00586EDF" w:rsidRPr="00CC5112" w:rsidRDefault="00586EDF" w:rsidP="00280F38">
      <w:pPr>
        <w:tabs>
          <w:tab w:val="left" w:pos="915"/>
          <w:tab w:val="left" w:pos="1275"/>
        </w:tabs>
        <w:ind w:firstLine="1134"/>
        <w:jc w:val="both"/>
      </w:pPr>
      <w:r w:rsidRPr="00CC5112">
        <w:t>Trumpalaikiai finansiniai įsipareigojimai – 26</w:t>
      </w:r>
      <w:r w:rsidR="00193DB4" w:rsidRPr="00CC5112">
        <w:t>2</w:t>
      </w:r>
      <w:r w:rsidRPr="00CC5112">
        <w:t>5,</w:t>
      </w:r>
      <w:r w:rsidR="00193DB4" w:rsidRPr="00CC5112">
        <w:t>33</w:t>
      </w:r>
      <w:r w:rsidRPr="00CC5112">
        <w:t xml:space="preserve"> tūkst. Eur, kuriuos sudaro: Saviva</w:t>
      </w:r>
      <w:r w:rsidR="00193DB4" w:rsidRPr="00CC5112">
        <w:t>ldybės negrąžintos paskolos – 2</w:t>
      </w:r>
      <w:r w:rsidRPr="00CC5112">
        <w:t>49</w:t>
      </w:r>
      <w:r w:rsidR="00193DB4" w:rsidRPr="00CC5112">
        <w:t>8</w:t>
      </w:r>
      <w:r w:rsidRPr="00CC5112">
        <w:t>,</w:t>
      </w:r>
      <w:r w:rsidR="00193DB4" w:rsidRPr="00CC5112">
        <w:t>72</w:t>
      </w:r>
      <w:r w:rsidRPr="00CC5112">
        <w:t xml:space="preserve"> tūkst. Eur bei pagal dėl ekonomikos krizės neproporcingai sumažinto darbo užmokesčio dalies grąžinimo įstatymą 201</w:t>
      </w:r>
      <w:r w:rsidR="00193DB4" w:rsidRPr="00CC5112">
        <w:t>8</w:t>
      </w:r>
      <w:r w:rsidRPr="00CC5112">
        <w:t xml:space="preserve"> m</w:t>
      </w:r>
      <w:r w:rsidR="003546D6">
        <w:t>etais</w:t>
      </w:r>
      <w:r w:rsidRPr="00CC5112">
        <w:t xml:space="preserve"> grąžintinas darbo užmokestis ir socialinio draudimo įmokos – </w:t>
      </w:r>
      <w:r w:rsidR="00193DB4" w:rsidRPr="00CC5112">
        <w:t>126,61</w:t>
      </w:r>
      <w:r w:rsidRPr="00CC5112">
        <w:t xml:space="preserve"> tūkst. Eur.</w:t>
      </w:r>
    </w:p>
    <w:p w:rsidR="00586EDF" w:rsidRPr="00CC5112" w:rsidRDefault="00586EDF" w:rsidP="00280F38">
      <w:pPr>
        <w:tabs>
          <w:tab w:val="left" w:pos="915"/>
          <w:tab w:val="left" w:pos="1275"/>
        </w:tabs>
        <w:ind w:firstLine="1134"/>
        <w:jc w:val="both"/>
      </w:pPr>
    </w:p>
    <w:p w:rsidR="00586EDF" w:rsidRPr="00CC5112" w:rsidRDefault="00586EDF" w:rsidP="00280F38">
      <w:pPr>
        <w:tabs>
          <w:tab w:val="left" w:pos="915"/>
          <w:tab w:val="left" w:pos="1275"/>
        </w:tabs>
        <w:ind w:firstLine="1134"/>
        <w:jc w:val="both"/>
        <w:rPr>
          <w:b/>
        </w:rPr>
      </w:pPr>
      <w:r w:rsidRPr="00CC5112">
        <w:rPr>
          <w:b/>
        </w:rPr>
        <w:t>11. Ilgalaikiai atidėjiniai, ilgalaikių atidėjinių einamųjų metų dalis ir trumpalaikiai atidėjiniai, pastaba Nr. P15.</w:t>
      </w:r>
    </w:p>
    <w:p w:rsidR="00586EDF" w:rsidRPr="00CC5112" w:rsidRDefault="00B71439" w:rsidP="00280F38">
      <w:pPr>
        <w:tabs>
          <w:tab w:val="left" w:pos="915"/>
          <w:tab w:val="left" w:pos="1275"/>
        </w:tabs>
        <w:ind w:firstLine="1134"/>
        <w:jc w:val="both"/>
      </w:pPr>
      <w:r w:rsidRPr="00CC5112">
        <w:t>Ilgalaikius</w:t>
      </w:r>
      <w:r w:rsidR="00586EDF" w:rsidRPr="00CC5112">
        <w:t xml:space="preserve"> atidėj</w:t>
      </w:r>
      <w:r w:rsidRPr="00CC5112">
        <w:t>inius</w:t>
      </w:r>
      <w:r w:rsidR="00586EDF" w:rsidRPr="00CC5112">
        <w:t xml:space="preserve"> ataskaitinio laikotarpio pabaigai </w:t>
      </w:r>
      <w:r w:rsidR="00193DB4" w:rsidRPr="00CC5112">
        <w:t>18,21</w:t>
      </w:r>
      <w:r w:rsidR="00586EDF" w:rsidRPr="00CC5112">
        <w:t xml:space="preserve"> tūkst. Eur sudaro kompensacija LR religinių bendrijų teisės į išlikusį nekilnojamą turtą atkūrimui (Šiaulių Evangelikų liuteronų religinei bendrijai už pastatą Šiauliuose, Tilžės g. 270, kuri bus išmokama po </w:t>
      </w:r>
      <w:r w:rsidR="00193DB4" w:rsidRPr="00CC5112">
        <w:t>ketverių</w:t>
      </w:r>
      <w:r w:rsidR="00586EDF" w:rsidRPr="00CC5112">
        <w:t xml:space="preserve"> metų). </w:t>
      </w:r>
    </w:p>
    <w:p w:rsidR="00586EDF" w:rsidRPr="00CC5112" w:rsidRDefault="00586EDF" w:rsidP="00280F38">
      <w:pPr>
        <w:tabs>
          <w:tab w:val="left" w:pos="915"/>
          <w:tab w:val="left" w:pos="1275"/>
        </w:tabs>
        <w:ind w:firstLine="1134"/>
        <w:jc w:val="both"/>
      </w:pPr>
      <w:r w:rsidRPr="00CC5112">
        <w:t>Trumpalaiki</w:t>
      </w:r>
      <w:r w:rsidR="00B71439" w:rsidRPr="00CC5112">
        <w:t>us</w:t>
      </w:r>
      <w:r w:rsidRPr="00CC5112">
        <w:t xml:space="preserve"> atidėjini</w:t>
      </w:r>
      <w:r w:rsidR="00B71439" w:rsidRPr="00CC5112">
        <w:t>us</w:t>
      </w:r>
      <w:r w:rsidRPr="00CC5112">
        <w:t xml:space="preserve"> – </w:t>
      </w:r>
      <w:r w:rsidR="00193DB4" w:rsidRPr="00CC5112">
        <w:t>533,50</w:t>
      </w:r>
      <w:r w:rsidRPr="00CC5112">
        <w:t xml:space="preserve"> tūkst. Eur sudaro teisinės išlaidos 201</w:t>
      </w:r>
      <w:r w:rsidR="00193DB4" w:rsidRPr="00CC5112">
        <w:t>8</w:t>
      </w:r>
      <w:r w:rsidRPr="00CC5112">
        <w:t xml:space="preserve"> metais tęsiamoms ir pradėtoms byloms, kurios gali sąlygoti tolimesnius ginčus, už kurias gali tekti mokėti.</w:t>
      </w:r>
    </w:p>
    <w:p w:rsidR="00586EDF" w:rsidRPr="00CC5112" w:rsidRDefault="00586EDF" w:rsidP="00280F38">
      <w:pPr>
        <w:tabs>
          <w:tab w:val="left" w:pos="915"/>
          <w:tab w:val="left" w:pos="1275"/>
        </w:tabs>
        <w:ind w:firstLine="1134"/>
        <w:jc w:val="both"/>
      </w:pPr>
    </w:p>
    <w:p w:rsidR="00586EDF" w:rsidRPr="00CC5112" w:rsidRDefault="00586EDF" w:rsidP="00280F38">
      <w:pPr>
        <w:tabs>
          <w:tab w:val="left" w:pos="915"/>
          <w:tab w:val="left" w:pos="1275"/>
        </w:tabs>
        <w:ind w:firstLine="1134"/>
        <w:jc w:val="both"/>
      </w:pPr>
      <w:r w:rsidRPr="00CC5112">
        <w:rPr>
          <w:b/>
        </w:rPr>
        <w:t xml:space="preserve">12. Suteiktos garantijos dėl paskolų. </w:t>
      </w:r>
      <w:r w:rsidRPr="00CC5112">
        <w:t xml:space="preserve">Informacija apie suteiktas garantijas dėl paskolų pateikta aiškinamojo rašto priede Nr. </w:t>
      </w:r>
      <w:r w:rsidRPr="0091606F">
        <w:rPr>
          <w:b/>
        </w:rPr>
        <w:t>P16</w:t>
      </w:r>
      <w:r w:rsidRPr="00CC5112">
        <w:t>.</w:t>
      </w:r>
    </w:p>
    <w:p w:rsidR="00062CD1" w:rsidRDefault="00586EDF" w:rsidP="00280F38">
      <w:pPr>
        <w:tabs>
          <w:tab w:val="left" w:pos="915"/>
          <w:tab w:val="left" w:pos="1275"/>
        </w:tabs>
        <w:ind w:firstLine="1134"/>
        <w:jc w:val="both"/>
      </w:pPr>
      <w:r w:rsidRPr="00CC5112">
        <w:t xml:space="preserve">Suteiktų garantijų dėl paskolų likutį </w:t>
      </w:r>
      <w:r w:rsidR="00B71439" w:rsidRPr="00CC5112">
        <w:t xml:space="preserve">– </w:t>
      </w:r>
      <w:r w:rsidRPr="00CC5112">
        <w:t>142,98 tūkst. Eur sudaro suteikta garantija dėl paskolos SĮ Šiaulių oro uostas.</w:t>
      </w:r>
      <w:r w:rsidR="00D01549" w:rsidRPr="00CC5112">
        <w:tab/>
      </w:r>
    </w:p>
    <w:p w:rsidR="003546D6" w:rsidRPr="00CC5112" w:rsidRDefault="003546D6" w:rsidP="00280F38">
      <w:pPr>
        <w:tabs>
          <w:tab w:val="left" w:pos="915"/>
          <w:tab w:val="left" w:pos="1275"/>
        </w:tabs>
        <w:ind w:firstLine="1134"/>
        <w:jc w:val="both"/>
        <w:rPr>
          <w:b/>
        </w:rPr>
      </w:pPr>
    </w:p>
    <w:p w:rsidR="00182576" w:rsidRPr="00CC5112" w:rsidRDefault="001E7944" w:rsidP="00280F38">
      <w:pPr>
        <w:tabs>
          <w:tab w:val="left" w:pos="915"/>
          <w:tab w:val="left" w:pos="1275"/>
        </w:tabs>
        <w:ind w:firstLine="1134"/>
        <w:jc w:val="both"/>
        <w:rPr>
          <w:b/>
        </w:rPr>
      </w:pPr>
      <w:r w:rsidRPr="00CC5112">
        <w:rPr>
          <w:b/>
          <w:bCs/>
        </w:rPr>
        <w:t>13</w:t>
      </w:r>
      <w:r w:rsidR="007C01DD" w:rsidRPr="00CC5112">
        <w:rPr>
          <w:b/>
          <w:bCs/>
        </w:rPr>
        <w:t xml:space="preserve">. </w:t>
      </w:r>
      <w:r w:rsidR="00962851" w:rsidRPr="00CC5112">
        <w:rPr>
          <w:b/>
        </w:rPr>
        <w:t>Trumpalaikės mokėtinos sumos</w:t>
      </w:r>
      <w:r w:rsidRPr="00CC5112">
        <w:rPr>
          <w:b/>
        </w:rPr>
        <w:t xml:space="preserve">, pastaba Nr. </w:t>
      </w:r>
      <w:r w:rsidR="005F4E16" w:rsidRPr="00CC5112">
        <w:rPr>
          <w:b/>
        </w:rPr>
        <w:t>P</w:t>
      </w:r>
      <w:r w:rsidRPr="00CC5112">
        <w:rPr>
          <w:b/>
        </w:rPr>
        <w:t>17.</w:t>
      </w:r>
      <w:r w:rsidR="0030304F" w:rsidRPr="00CC5112">
        <w:t xml:space="preserve"> Informacija apie kai kurias trumpalaikes mokėtinas sumas pateikta </w:t>
      </w:r>
      <w:r w:rsidR="00E96B3C" w:rsidRPr="00CC5112">
        <w:t xml:space="preserve">aiškinamojo rašto </w:t>
      </w:r>
      <w:r w:rsidR="00490D50" w:rsidRPr="00CC5112">
        <w:t>priede</w:t>
      </w:r>
      <w:r w:rsidR="00E96B3C" w:rsidRPr="00CC5112">
        <w:t xml:space="preserve"> Nr. </w:t>
      </w:r>
      <w:r w:rsidR="005F4E16" w:rsidRPr="00CC5112">
        <w:t>P</w:t>
      </w:r>
      <w:r w:rsidR="00E96B3C" w:rsidRPr="00CC5112">
        <w:t>17.</w:t>
      </w:r>
    </w:p>
    <w:p w:rsidR="006275EC" w:rsidRPr="00CC5112" w:rsidRDefault="00182576" w:rsidP="00280F38">
      <w:pPr>
        <w:tabs>
          <w:tab w:val="left" w:pos="915"/>
          <w:tab w:val="left" w:pos="1275"/>
        </w:tabs>
        <w:ind w:firstLine="1134"/>
        <w:jc w:val="both"/>
      </w:pPr>
      <w:r w:rsidRPr="00CC5112">
        <w:t>T</w:t>
      </w:r>
      <w:r w:rsidR="00C215F2" w:rsidRPr="00CC5112">
        <w:t xml:space="preserve">iekėjams mokėtinos sumos – </w:t>
      </w:r>
      <w:r w:rsidR="00B76180" w:rsidRPr="00CC5112">
        <w:t>1118,86</w:t>
      </w:r>
      <w:r w:rsidRPr="00CC5112">
        <w:t xml:space="preserve"> tūkst. </w:t>
      </w:r>
      <w:r w:rsidR="00396FC5" w:rsidRPr="00CC5112">
        <w:t>Eur</w:t>
      </w:r>
      <w:r w:rsidRPr="00CC5112">
        <w:t xml:space="preserve">, t. y. </w:t>
      </w:r>
      <w:r w:rsidR="00B76180" w:rsidRPr="00CC5112">
        <w:t>25,89</w:t>
      </w:r>
      <w:r w:rsidRPr="00CC5112">
        <w:t xml:space="preserve"> tūkst. </w:t>
      </w:r>
      <w:r w:rsidR="00396FC5" w:rsidRPr="00CC5112">
        <w:t>Eur</w:t>
      </w:r>
      <w:r w:rsidRPr="00CC5112">
        <w:t xml:space="preserve"> mažiau nei praėjus</w:t>
      </w:r>
      <w:r w:rsidR="00C215F2" w:rsidRPr="00CC5112">
        <w:t>į ataskaitinį laikotarpį.</w:t>
      </w:r>
      <w:r w:rsidR="00E96B3C" w:rsidRPr="00CC5112">
        <w:t xml:space="preserve"> </w:t>
      </w:r>
    </w:p>
    <w:p w:rsidR="00A94194" w:rsidRPr="00CC5112" w:rsidRDefault="006275EC" w:rsidP="00280F38">
      <w:pPr>
        <w:tabs>
          <w:tab w:val="left" w:pos="915"/>
          <w:tab w:val="left" w:pos="1275"/>
        </w:tabs>
        <w:ind w:firstLine="1134"/>
        <w:jc w:val="both"/>
      </w:pPr>
      <w:r w:rsidRPr="00CC5112">
        <w:t>Sukaupta</w:t>
      </w:r>
      <w:r w:rsidR="00C65E49" w:rsidRPr="00CC5112">
        <w:t xml:space="preserve">s </w:t>
      </w:r>
      <w:r w:rsidRPr="00CC5112">
        <w:t>mokėtina</w:t>
      </w:r>
      <w:r w:rsidR="00C65E49" w:rsidRPr="00CC5112">
        <w:t>s sum</w:t>
      </w:r>
      <w:r w:rsidRPr="00CC5112">
        <w:t>a</w:t>
      </w:r>
      <w:r w:rsidR="00C65E49" w:rsidRPr="00CC5112">
        <w:t xml:space="preserve">s – </w:t>
      </w:r>
      <w:r w:rsidR="00B76180" w:rsidRPr="00CC5112">
        <w:t>4628,43</w:t>
      </w:r>
      <w:r w:rsidR="00C215F2" w:rsidRPr="00CC5112">
        <w:t xml:space="preserve"> tūkst. </w:t>
      </w:r>
      <w:r w:rsidR="00396FC5" w:rsidRPr="00CC5112">
        <w:t>Eur</w:t>
      </w:r>
      <w:r w:rsidR="00A94194" w:rsidRPr="00CC5112">
        <w:t xml:space="preserve"> </w:t>
      </w:r>
      <w:r w:rsidRPr="00CC5112">
        <w:t>s</w:t>
      </w:r>
      <w:r w:rsidR="00A94194" w:rsidRPr="00CC5112">
        <w:t>udaro</w:t>
      </w:r>
      <w:r w:rsidRPr="00CC5112">
        <w:t>:</w:t>
      </w:r>
      <w:r w:rsidR="00A94194" w:rsidRPr="00CC5112">
        <w:t xml:space="preserve"> sukauptos atostoginių sąnaudos</w:t>
      </w:r>
      <w:r w:rsidR="0037728B" w:rsidRPr="00CC5112">
        <w:t xml:space="preserve"> su įmokomis socialiniam draudimui</w:t>
      </w:r>
      <w:r w:rsidR="00A94194" w:rsidRPr="00CC5112">
        <w:t xml:space="preserve"> </w:t>
      </w:r>
      <w:r w:rsidR="00805FD0" w:rsidRPr="00CC5112">
        <w:t>–</w:t>
      </w:r>
      <w:r w:rsidR="00452A0D" w:rsidRPr="00CC5112">
        <w:t xml:space="preserve"> </w:t>
      </w:r>
      <w:r w:rsidR="00B76180" w:rsidRPr="00CC5112">
        <w:t>4512,11</w:t>
      </w:r>
      <w:r w:rsidR="00396FC5" w:rsidRPr="00CC5112">
        <w:t xml:space="preserve"> </w:t>
      </w:r>
      <w:r w:rsidR="00A94194" w:rsidRPr="00CC5112">
        <w:t>tūkst.</w:t>
      </w:r>
      <w:r w:rsidRPr="00CC5112">
        <w:t xml:space="preserve"> E</w:t>
      </w:r>
      <w:r w:rsidR="00396FC5" w:rsidRPr="00CC5112">
        <w:t>ur</w:t>
      </w:r>
      <w:r w:rsidR="00A94194" w:rsidRPr="00CC5112">
        <w:t>, kitos sukauptos sąnaudos</w:t>
      </w:r>
      <w:r w:rsidR="006D1B64" w:rsidRPr="00CC5112">
        <w:t xml:space="preserve"> – </w:t>
      </w:r>
      <w:r w:rsidR="00B76180" w:rsidRPr="00CC5112">
        <w:t>127,23</w:t>
      </w:r>
      <w:r w:rsidR="006D1B64" w:rsidRPr="00CC5112">
        <w:t xml:space="preserve"> tūkst. E</w:t>
      </w:r>
      <w:r w:rsidR="0037728B" w:rsidRPr="00CC5112">
        <w:t>ur</w:t>
      </w:r>
      <w:r w:rsidR="00A94194" w:rsidRPr="00CC5112">
        <w:t xml:space="preserve"> ir kitos </w:t>
      </w:r>
      <w:r w:rsidR="0037728B" w:rsidRPr="00CC5112">
        <w:t xml:space="preserve">sukauptos </w:t>
      </w:r>
      <w:r w:rsidR="00A94194" w:rsidRPr="00CC5112">
        <w:t>mokėtinos sumos</w:t>
      </w:r>
      <w:r w:rsidRPr="00CC5112">
        <w:t xml:space="preserve"> – </w:t>
      </w:r>
      <w:r w:rsidR="00B76180" w:rsidRPr="00CC5112">
        <w:t>5,01</w:t>
      </w:r>
      <w:r w:rsidRPr="00CC5112">
        <w:t xml:space="preserve"> tūkst. Eur</w:t>
      </w:r>
      <w:r w:rsidR="00A94194" w:rsidRPr="00CC5112">
        <w:t xml:space="preserve">. </w:t>
      </w:r>
    </w:p>
    <w:p w:rsidR="009F7F7D" w:rsidRPr="00CC5112" w:rsidRDefault="005031AA" w:rsidP="00280F38">
      <w:pPr>
        <w:tabs>
          <w:tab w:val="left" w:pos="915"/>
          <w:tab w:val="left" w:pos="1275"/>
        </w:tabs>
        <w:ind w:firstLine="1134"/>
        <w:jc w:val="both"/>
      </w:pPr>
      <w:r w:rsidRPr="00CC5112">
        <w:t>Kit</w:t>
      </w:r>
      <w:r w:rsidR="006275EC" w:rsidRPr="00CC5112">
        <w:t>us trumpalaikius įsipareigojimus</w:t>
      </w:r>
      <w:r w:rsidRPr="00CC5112">
        <w:t xml:space="preserve"> </w:t>
      </w:r>
      <w:r w:rsidR="009F7F7D" w:rsidRPr="00CC5112">
        <w:t>–</w:t>
      </w:r>
      <w:r w:rsidR="006275EC" w:rsidRPr="00CC5112">
        <w:t xml:space="preserve"> </w:t>
      </w:r>
      <w:r w:rsidR="00B76180" w:rsidRPr="00CC5112">
        <w:t>478,47</w:t>
      </w:r>
      <w:r w:rsidRPr="00CC5112">
        <w:t xml:space="preserve"> tūkst. </w:t>
      </w:r>
      <w:r w:rsidR="00396FC5" w:rsidRPr="00CC5112">
        <w:t>Eur</w:t>
      </w:r>
      <w:r w:rsidR="0071394E" w:rsidRPr="00CC5112">
        <w:t>.</w:t>
      </w:r>
      <w:r w:rsidR="0037728B" w:rsidRPr="00CC5112">
        <w:t xml:space="preserve"> </w:t>
      </w:r>
    </w:p>
    <w:p w:rsidR="0071394E" w:rsidRPr="00CC5112" w:rsidRDefault="0071394E" w:rsidP="00280F38">
      <w:pPr>
        <w:tabs>
          <w:tab w:val="left" w:pos="915"/>
          <w:tab w:val="left" w:pos="1275"/>
        </w:tabs>
        <w:ind w:firstLine="1134"/>
        <w:jc w:val="both"/>
      </w:pPr>
    </w:p>
    <w:p w:rsidR="00E96B3C" w:rsidRPr="00CC5112" w:rsidRDefault="00A94194" w:rsidP="00280F38">
      <w:pPr>
        <w:tabs>
          <w:tab w:val="left" w:pos="915"/>
          <w:tab w:val="left" w:pos="1275"/>
        </w:tabs>
        <w:ind w:firstLine="1134"/>
        <w:jc w:val="both"/>
      </w:pPr>
      <w:r w:rsidRPr="00CC5112">
        <w:rPr>
          <w:b/>
        </w:rPr>
        <w:t>14</w:t>
      </w:r>
      <w:r w:rsidR="007C01DD" w:rsidRPr="00CC5112">
        <w:rPr>
          <w:b/>
        </w:rPr>
        <w:t xml:space="preserve">. </w:t>
      </w:r>
      <w:r w:rsidR="0013542D" w:rsidRPr="00CC5112">
        <w:rPr>
          <w:b/>
        </w:rPr>
        <w:t>Grynasis turtas</w:t>
      </w:r>
      <w:r w:rsidRPr="00CC5112">
        <w:rPr>
          <w:b/>
        </w:rPr>
        <w:t>, pastaba Nr. P18.</w:t>
      </w:r>
      <w:r w:rsidR="00E96B3C" w:rsidRPr="00CC5112">
        <w:rPr>
          <w:b/>
        </w:rPr>
        <w:t xml:space="preserve"> </w:t>
      </w:r>
      <w:r w:rsidR="0013542D" w:rsidRPr="00CC5112">
        <w:t>Informacija apie grynojo turto pokyčius pateikta</w:t>
      </w:r>
      <w:r w:rsidR="00E96B3C" w:rsidRPr="00CC5112">
        <w:t xml:space="preserve"> </w:t>
      </w:r>
      <w:r w:rsidR="0013542D" w:rsidRPr="00CC5112">
        <w:t>„G</w:t>
      </w:r>
      <w:r w:rsidR="00E96B3C" w:rsidRPr="00CC5112">
        <w:t>rynojo turto pokyčių ataskaitoje</w:t>
      </w:r>
      <w:r w:rsidR="00693982" w:rsidRPr="00CC5112">
        <w:t>“</w:t>
      </w:r>
      <w:r w:rsidR="00E96B3C" w:rsidRPr="00CC5112">
        <w:t>.</w:t>
      </w:r>
    </w:p>
    <w:p w:rsidR="0013542D" w:rsidRPr="00CC5112" w:rsidRDefault="00A94194" w:rsidP="00280F38">
      <w:pPr>
        <w:tabs>
          <w:tab w:val="left" w:pos="915"/>
          <w:tab w:val="left" w:pos="1275"/>
        </w:tabs>
        <w:ind w:firstLine="1134"/>
        <w:jc w:val="both"/>
        <w:rPr>
          <w:b/>
        </w:rPr>
      </w:pPr>
      <w:r w:rsidRPr="00CC5112">
        <w:t xml:space="preserve">Savivaldybės grynasis turtas apskaičiuojamas aritmetiškai – iš viso turto balansinės vertės atimama visų įsipareigojimų ir finansavimo sumų balansinė vertė. Savivaldybės </w:t>
      </w:r>
      <w:r w:rsidR="004420D3" w:rsidRPr="00CC5112">
        <w:t xml:space="preserve">grynasis turtas metų pabaigoje sudarė </w:t>
      </w:r>
      <w:r w:rsidR="00B76180" w:rsidRPr="00CC5112">
        <w:t>164412,37</w:t>
      </w:r>
      <w:r w:rsidR="004420D3" w:rsidRPr="00CC5112">
        <w:t xml:space="preserve"> tūkst. </w:t>
      </w:r>
      <w:r w:rsidR="002A155A" w:rsidRPr="00CC5112">
        <w:t>Eur</w:t>
      </w:r>
      <w:r w:rsidR="004420D3" w:rsidRPr="00CC5112">
        <w:t xml:space="preserve"> </w:t>
      </w:r>
      <w:r w:rsidR="009461F6" w:rsidRPr="00CC5112">
        <w:t>arba</w:t>
      </w:r>
      <w:r w:rsidR="004420D3" w:rsidRPr="00CC5112">
        <w:t xml:space="preserve"> </w:t>
      </w:r>
      <w:r w:rsidR="00117AD5" w:rsidRPr="00CC5112">
        <w:t>5</w:t>
      </w:r>
      <w:r w:rsidR="00B76180" w:rsidRPr="00CC5112">
        <w:t>7</w:t>
      </w:r>
      <w:r w:rsidR="00117AD5" w:rsidRPr="00CC5112">
        <w:t>,</w:t>
      </w:r>
      <w:r w:rsidR="00B76180" w:rsidRPr="00CC5112">
        <w:t>92</w:t>
      </w:r>
      <w:r w:rsidR="004420D3" w:rsidRPr="00CC5112">
        <w:t xml:space="preserve"> proc. nuo bendros turto sumos. Šis santykis parodo, kiek turto liktų Savivaldybei padengus visus įsipareigojimus ir grąžinus finansavimo sumas.</w:t>
      </w:r>
    </w:p>
    <w:p w:rsidR="004420D3" w:rsidRPr="00CC5112" w:rsidRDefault="004420D3" w:rsidP="00280F38">
      <w:pPr>
        <w:tabs>
          <w:tab w:val="left" w:pos="915"/>
          <w:tab w:val="left" w:pos="1275"/>
        </w:tabs>
        <w:ind w:firstLine="1134"/>
        <w:jc w:val="both"/>
      </w:pPr>
      <w:r w:rsidRPr="00CC5112">
        <w:t>Didžią</w:t>
      </w:r>
      <w:r w:rsidR="008709F3" w:rsidRPr="00CC5112">
        <w:t>ją</w:t>
      </w:r>
      <w:r w:rsidRPr="00CC5112">
        <w:t xml:space="preserve"> grynojo turto</w:t>
      </w:r>
      <w:r w:rsidR="008709F3" w:rsidRPr="00CC5112">
        <w:t xml:space="preserve"> dalį</w:t>
      </w:r>
      <w:r w:rsidRPr="00CC5112">
        <w:t xml:space="preserve"> sudaro tikrosios vertės rezervai </w:t>
      </w:r>
      <w:r w:rsidR="00B76180" w:rsidRPr="00CC5112">
        <w:t>5511,72</w:t>
      </w:r>
      <w:r w:rsidRPr="00CC5112">
        <w:t xml:space="preserve"> </w:t>
      </w:r>
      <w:r w:rsidR="002A155A" w:rsidRPr="00CC5112">
        <w:t>tūkst. Eur</w:t>
      </w:r>
      <w:r w:rsidR="008709F3" w:rsidRPr="00CC5112">
        <w:t xml:space="preserve">, kiti rezervai </w:t>
      </w:r>
      <w:r w:rsidR="002A155A" w:rsidRPr="00CC5112">
        <w:t>115,85</w:t>
      </w:r>
      <w:r w:rsidR="008709F3" w:rsidRPr="00CC5112">
        <w:t xml:space="preserve"> tūkst. </w:t>
      </w:r>
      <w:r w:rsidR="002A155A" w:rsidRPr="00CC5112">
        <w:t>Eur</w:t>
      </w:r>
      <w:r w:rsidR="008709F3" w:rsidRPr="00CC5112">
        <w:t xml:space="preserve">. </w:t>
      </w:r>
      <w:r w:rsidR="00B76180" w:rsidRPr="00CC5112">
        <w:t xml:space="preserve">Tikrosios vertės rezervas padidėjo 1648,97 </w:t>
      </w:r>
      <w:r w:rsidR="00B71439" w:rsidRPr="00CC5112">
        <w:t xml:space="preserve">tūkst. Eur </w:t>
      </w:r>
      <w:r w:rsidR="00B76180" w:rsidRPr="00CC5112">
        <w:t xml:space="preserve">dėl ataskaitinio laikotarpio pabaigoje apskaičiuoto žemės tikrosios vertės padidėjimo. </w:t>
      </w:r>
      <w:r w:rsidR="008709F3" w:rsidRPr="00CC5112">
        <w:t xml:space="preserve">Į savivaldybės grynąjį turtą įtraukta nuosavybės metodo įtaka sudarė </w:t>
      </w:r>
      <w:r w:rsidR="00B76180" w:rsidRPr="00CC5112">
        <w:t>18863,78</w:t>
      </w:r>
      <w:r w:rsidR="008709F3" w:rsidRPr="00CC5112">
        <w:t xml:space="preserve"> tūkst. </w:t>
      </w:r>
      <w:r w:rsidR="002A155A" w:rsidRPr="00CC5112">
        <w:t>Eur</w:t>
      </w:r>
      <w:r w:rsidR="008709F3" w:rsidRPr="00CC5112">
        <w:t>. Nuosavybės metodo įtaka parodo investicijos į ne VSS vertės pokytį ir lyg</w:t>
      </w:r>
      <w:r w:rsidR="00642CEF" w:rsidRPr="00CC5112">
        <w:t>i</w:t>
      </w:r>
      <w:r w:rsidR="008709F3" w:rsidRPr="00CC5112">
        <w:t xml:space="preserve"> savivaldybei tenkančių kontroliuojamų ne VSS nuosavo kapitalo daliai, atėmus investicijos į tą subjektą įsigijimo savikainą. </w:t>
      </w:r>
    </w:p>
    <w:p w:rsidR="000F2171" w:rsidRPr="00CC5112" w:rsidRDefault="008709F3" w:rsidP="00280F38">
      <w:pPr>
        <w:tabs>
          <w:tab w:val="left" w:pos="915"/>
          <w:tab w:val="left" w:pos="1275"/>
        </w:tabs>
        <w:ind w:firstLine="1134"/>
        <w:jc w:val="both"/>
      </w:pPr>
      <w:r w:rsidRPr="00CC5112">
        <w:t>Į savivaldybės grynąjį turtą įtrauktas sukauptas perviršis ar deficitas prieš nuosavybės metodo įtaką 201</w:t>
      </w:r>
      <w:r w:rsidR="00B76180" w:rsidRPr="00CC5112">
        <w:t>7</w:t>
      </w:r>
      <w:r w:rsidRPr="00CC5112">
        <w:t xml:space="preserve"> m. pabaigai sudarė </w:t>
      </w:r>
      <w:r w:rsidR="00B76180" w:rsidRPr="00CC5112">
        <w:t xml:space="preserve">139921,02 </w:t>
      </w:r>
      <w:r w:rsidRPr="00CC5112">
        <w:t xml:space="preserve">tūkst. </w:t>
      </w:r>
      <w:r w:rsidR="002A155A" w:rsidRPr="00CC5112">
        <w:t>Eur</w:t>
      </w:r>
      <w:r w:rsidRPr="00CC5112">
        <w:t>.</w:t>
      </w:r>
      <w:r w:rsidR="00090FB3" w:rsidRPr="00CC5112">
        <w:t xml:space="preserve"> Sukaupto perviršio</w:t>
      </w:r>
      <w:r w:rsidR="00E96B3C" w:rsidRPr="00CC5112">
        <w:t xml:space="preserve"> ar deficito padidėjimą įtakojo</w:t>
      </w:r>
      <w:r w:rsidR="00090FB3" w:rsidRPr="00CC5112">
        <w:t xml:space="preserve"> grynasis ataskaitinio laikotar</w:t>
      </w:r>
      <w:r w:rsidR="00E96B3C" w:rsidRPr="00CC5112">
        <w:t>pio perviršis ir klaidų taisymai</w:t>
      </w:r>
      <w:r w:rsidR="00090FB3" w:rsidRPr="00CC5112">
        <w:t>.</w:t>
      </w:r>
      <w:r w:rsidR="002A155A" w:rsidRPr="00CC5112">
        <w:t xml:space="preserve"> </w:t>
      </w:r>
    </w:p>
    <w:p w:rsidR="003014F3" w:rsidRPr="00CC5112" w:rsidRDefault="003014F3" w:rsidP="00280F38">
      <w:pPr>
        <w:tabs>
          <w:tab w:val="left" w:pos="915"/>
          <w:tab w:val="left" w:pos="1275"/>
        </w:tabs>
        <w:ind w:firstLine="1134"/>
        <w:jc w:val="both"/>
      </w:pPr>
    </w:p>
    <w:p w:rsidR="00666D25" w:rsidRPr="00CC5112" w:rsidRDefault="000F2171" w:rsidP="00280F38">
      <w:pPr>
        <w:tabs>
          <w:tab w:val="left" w:pos="915"/>
          <w:tab w:val="left" w:pos="1275"/>
        </w:tabs>
        <w:ind w:firstLine="1134"/>
        <w:jc w:val="both"/>
        <w:rPr>
          <w:color w:val="FF0000"/>
        </w:rPr>
      </w:pPr>
      <w:r w:rsidRPr="00CC5112">
        <w:rPr>
          <w:b/>
        </w:rPr>
        <w:t>15. Mažumos dalis.</w:t>
      </w:r>
      <w:r w:rsidRPr="00CC5112">
        <w:t xml:space="preserve"> </w:t>
      </w:r>
      <w:r w:rsidR="00EF0227" w:rsidRPr="00CC5112">
        <w:t>2016 m. vasario 2 d. LR finansų ministro įsakymu Nr. 1K-47 pakeistas ir išdėstytas nauja redakcija</w:t>
      </w:r>
      <w:r w:rsidR="00B731BD" w:rsidRPr="00CC5112">
        <w:t xml:space="preserve"> 15-asis VSAFAS </w:t>
      </w:r>
      <w:r w:rsidR="00EF0227" w:rsidRPr="00CC5112">
        <w:t xml:space="preserve"> „Konsoliduotųjų finansinių ataskaitų rinkinys ir investicijos į kontroliuojamus subjektus“. Šio standarto 15.2 punktas numato, kad konsoliduotosiose finansinėse ataskaitose turi būti rodoma viešojo sektoriaus subjektų grupei nepriklausanti grynojo turto dalis ir ūkinių operacijų su prie viešojo sektoriaus subjektų grupės nepriskirtais viešojo sektoriaus subjektais rezultatai (perviršis arba deficitas), t. y. mažumos dalis, net jei ji yra neigiama. </w:t>
      </w:r>
      <w:r w:rsidR="00EF0227" w:rsidRPr="00CC5112">
        <w:rPr>
          <w:color w:val="FF0000"/>
        </w:rPr>
        <w:t xml:space="preserve"> </w:t>
      </w:r>
      <w:r w:rsidR="002A155A" w:rsidRPr="00CC5112">
        <w:t>Mažumos dalis lygi viešojo sektoriaus subjekto, kurios kontroliuojamas mažiau nei 100 % grynajam turtui,</w:t>
      </w:r>
      <w:r w:rsidR="005410FE" w:rsidRPr="00CC5112">
        <w:t xml:space="preserve"> </w:t>
      </w:r>
      <w:r w:rsidR="002A155A" w:rsidRPr="00CC5112">
        <w:t>padaugintam iš mažumai priklausančio procento</w:t>
      </w:r>
      <w:r w:rsidR="00090FB3" w:rsidRPr="00CC5112">
        <w:t>.</w:t>
      </w:r>
      <w:r w:rsidR="00B731BD" w:rsidRPr="00CC5112">
        <w:t xml:space="preserve"> Einamųjų metų mažumos dalis ataskaitinio laikotarpio pabaigai</w:t>
      </w:r>
      <w:r w:rsidR="00043145" w:rsidRPr="00CC5112">
        <w:t xml:space="preserve"> – -384,63 </w:t>
      </w:r>
      <w:r w:rsidR="00B731BD" w:rsidRPr="00CC5112">
        <w:t>tūkst. Eur</w:t>
      </w:r>
      <w:r w:rsidR="00452A0D" w:rsidRPr="00CC5112">
        <w:t>.</w:t>
      </w:r>
    </w:p>
    <w:p w:rsidR="00693982" w:rsidRPr="00CC5112" w:rsidRDefault="00693982" w:rsidP="00280F38">
      <w:pPr>
        <w:tabs>
          <w:tab w:val="left" w:pos="915"/>
          <w:tab w:val="left" w:pos="1275"/>
        </w:tabs>
        <w:ind w:firstLine="1134"/>
        <w:jc w:val="both"/>
      </w:pPr>
    </w:p>
    <w:p w:rsidR="00666D25" w:rsidRPr="00CC5112" w:rsidRDefault="008933EB" w:rsidP="00280F38">
      <w:pPr>
        <w:tabs>
          <w:tab w:val="left" w:pos="915"/>
          <w:tab w:val="left" w:pos="1275"/>
        </w:tabs>
        <w:ind w:firstLine="1134"/>
        <w:jc w:val="both"/>
      </w:pPr>
      <w:r w:rsidRPr="00CC5112">
        <w:rPr>
          <w:b/>
          <w:bCs/>
        </w:rPr>
        <w:t>15</w:t>
      </w:r>
      <w:r w:rsidR="00146856" w:rsidRPr="00CC5112">
        <w:rPr>
          <w:b/>
          <w:bCs/>
        </w:rPr>
        <w:t>.</w:t>
      </w:r>
      <w:r w:rsidR="00962851" w:rsidRPr="00CC5112">
        <w:t xml:space="preserve"> </w:t>
      </w:r>
      <w:r w:rsidR="00962851" w:rsidRPr="00CC5112">
        <w:rPr>
          <w:b/>
        </w:rPr>
        <w:t>Mokesčių pajamos</w:t>
      </w:r>
      <w:r w:rsidR="00146856" w:rsidRPr="00CC5112">
        <w:rPr>
          <w:b/>
        </w:rPr>
        <w:t>, pastaba Nr. P19.</w:t>
      </w:r>
      <w:r w:rsidR="0013542D" w:rsidRPr="00CC5112">
        <w:rPr>
          <w:b/>
        </w:rPr>
        <w:t xml:space="preserve"> </w:t>
      </w:r>
      <w:r w:rsidR="000A777A" w:rsidRPr="00CC5112">
        <w:t>Palyginamoji i</w:t>
      </w:r>
      <w:r w:rsidR="00962851" w:rsidRPr="00CC5112">
        <w:t xml:space="preserve">nformacija apie mokesčių </w:t>
      </w:r>
      <w:r w:rsidR="00666D25" w:rsidRPr="00CC5112">
        <w:t>pajamas</w:t>
      </w:r>
      <w:r w:rsidR="00962851" w:rsidRPr="00CC5112">
        <w:t xml:space="preserve"> </w:t>
      </w:r>
      <w:r w:rsidR="00146856" w:rsidRPr="00CC5112">
        <w:t xml:space="preserve">pateikiama grafike Nr. 1. </w:t>
      </w:r>
    </w:p>
    <w:p w:rsidR="009461F6" w:rsidRPr="00CC5112" w:rsidRDefault="009461F6" w:rsidP="009461F6">
      <w:pPr>
        <w:tabs>
          <w:tab w:val="left" w:pos="915"/>
          <w:tab w:val="left" w:pos="1275"/>
        </w:tabs>
        <w:ind w:firstLine="1134"/>
        <w:jc w:val="right"/>
      </w:pPr>
      <w:r w:rsidRPr="00CC5112">
        <w:t>Grafikas Nr. 1</w:t>
      </w:r>
    </w:p>
    <w:p w:rsidR="0030106B" w:rsidRPr="00CC5112" w:rsidRDefault="001E628C" w:rsidP="00102630">
      <w:pPr>
        <w:tabs>
          <w:tab w:val="left" w:pos="915"/>
          <w:tab w:val="left" w:pos="1275"/>
        </w:tabs>
        <w:rPr>
          <w:noProof/>
          <w:lang w:eastAsia="lt-LT"/>
        </w:rPr>
      </w:pPr>
      <w:r>
        <w:rPr>
          <w:noProof/>
          <w:lang w:eastAsia="lt-LT"/>
        </w:rPr>
        <w:drawing>
          <wp:inline distT="0" distB="0" distL="0" distR="0">
            <wp:extent cx="6109335" cy="2157730"/>
            <wp:effectExtent l="0" t="0" r="24765" b="13970"/>
            <wp:docPr id="1" name="Diagrama 1" descr="Antraštė: Mokesčių pajamo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71479" w:rsidRPr="00CC5112" w:rsidRDefault="00471479" w:rsidP="00471479">
      <w:pPr>
        <w:pStyle w:val="Antrinispavadinimas"/>
        <w:ind w:firstLine="1134"/>
        <w:jc w:val="both"/>
        <w:outlineLvl w:val="9"/>
        <w:rPr>
          <w:rFonts w:ascii="Times New Roman" w:hAnsi="Times New Roman"/>
        </w:rPr>
      </w:pPr>
    </w:p>
    <w:p w:rsidR="00452A0D" w:rsidRPr="00CC5112" w:rsidRDefault="008A7A45" w:rsidP="00BF134D">
      <w:pPr>
        <w:pStyle w:val="Antrinispavadinimas"/>
        <w:spacing w:after="0"/>
        <w:ind w:firstLine="1134"/>
        <w:jc w:val="both"/>
        <w:outlineLvl w:val="9"/>
        <w:rPr>
          <w:rFonts w:ascii="Times New Roman" w:hAnsi="Times New Roman"/>
        </w:rPr>
      </w:pPr>
      <w:r w:rsidRPr="00CC5112">
        <w:rPr>
          <w:rFonts w:ascii="Times New Roman" w:hAnsi="Times New Roman"/>
        </w:rPr>
        <w:t>Mokesčių pajamos ataskaitinio laikotarpio pabaigai</w:t>
      </w:r>
      <w:r w:rsidR="00B71439" w:rsidRPr="00CC5112">
        <w:rPr>
          <w:rFonts w:ascii="Times New Roman" w:hAnsi="Times New Roman"/>
        </w:rPr>
        <w:t xml:space="preserve"> –</w:t>
      </w:r>
      <w:r w:rsidRPr="00CC5112">
        <w:rPr>
          <w:rFonts w:ascii="Times New Roman" w:hAnsi="Times New Roman"/>
        </w:rPr>
        <w:t xml:space="preserve"> </w:t>
      </w:r>
      <w:r w:rsidR="0030106B" w:rsidRPr="00CC5112">
        <w:rPr>
          <w:rFonts w:ascii="Times New Roman" w:hAnsi="Times New Roman"/>
        </w:rPr>
        <w:t>51786,64</w:t>
      </w:r>
      <w:r w:rsidRPr="00CC5112">
        <w:rPr>
          <w:rFonts w:ascii="Times New Roman" w:hAnsi="Times New Roman"/>
        </w:rPr>
        <w:t xml:space="preserve"> tūkst. Eur. L</w:t>
      </w:r>
      <w:r w:rsidR="00B91F2B" w:rsidRPr="00CC5112">
        <w:rPr>
          <w:rFonts w:ascii="Times New Roman" w:hAnsi="Times New Roman"/>
        </w:rPr>
        <w:t xml:space="preserve">yginant su praėjusiu ataskaitiniu laikotarpiu </w:t>
      </w:r>
      <w:r w:rsidR="0030106B" w:rsidRPr="00CC5112">
        <w:rPr>
          <w:rFonts w:ascii="Times New Roman" w:hAnsi="Times New Roman"/>
        </w:rPr>
        <w:t>5473,18</w:t>
      </w:r>
      <w:r w:rsidR="00B91F2B" w:rsidRPr="00CC5112">
        <w:rPr>
          <w:rFonts w:ascii="Times New Roman" w:hAnsi="Times New Roman"/>
        </w:rPr>
        <w:t xml:space="preserve"> tūkst.</w:t>
      </w:r>
      <w:r w:rsidR="005410FE" w:rsidRPr="00CC5112">
        <w:rPr>
          <w:rFonts w:ascii="Times New Roman" w:hAnsi="Times New Roman"/>
        </w:rPr>
        <w:t xml:space="preserve"> Eur</w:t>
      </w:r>
      <w:r w:rsidRPr="00CC5112">
        <w:rPr>
          <w:rFonts w:ascii="Times New Roman" w:hAnsi="Times New Roman"/>
        </w:rPr>
        <w:t xml:space="preserve"> </w:t>
      </w:r>
      <w:r w:rsidR="00B91F2B" w:rsidRPr="00CC5112">
        <w:rPr>
          <w:rFonts w:ascii="Times New Roman" w:hAnsi="Times New Roman"/>
        </w:rPr>
        <w:t>arba</w:t>
      </w:r>
      <w:r w:rsidR="0081636E" w:rsidRPr="00CC5112">
        <w:rPr>
          <w:rFonts w:ascii="Times New Roman" w:hAnsi="Times New Roman"/>
        </w:rPr>
        <w:t xml:space="preserve"> </w:t>
      </w:r>
      <w:r w:rsidR="0030106B" w:rsidRPr="00CC5112">
        <w:rPr>
          <w:rFonts w:ascii="Times New Roman" w:hAnsi="Times New Roman"/>
        </w:rPr>
        <w:t>11,82</w:t>
      </w:r>
      <w:r w:rsidR="00B91F2B" w:rsidRPr="00CC5112">
        <w:rPr>
          <w:rFonts w:ascii="Times New Roman" w:hAnsi="Times New Roman"/>
        </w:rPr>
        <w:t xml:space="preserve"> proc. </w:t>
      </w:r>
      <w:r w:rsidRPr="00CC5112">
        <w:rPr>
          <w:rFonts w:ascii="Times New Roman" w:hAnsi="Times New Roman"/>
        </w:rPr>
        <w:t xml:space="preserve">didesnės. </w:t>
      </w:r>
      <w:r w:rsidR="00452A0D" w:rsidRPr="00CC5112">
        <w:rPr>
          <w:rFonts w:ascii="Times New Roman" w:hAnsi="Times New Roman"/>
        </w:rPr>
        <w:t xml:space="preserve">Didžiąją dalį mokesčių pajamų sudaro gyventojų pajamų mokestis </w:t>
      </w:r>
      <w:r w:rsidRPr="00CC5112">
        <w:rPr>
          <w:rFonts w:ascii="Times New Roman" w:hAnsi="Times New Roman"/>
        </w:rPr>
        <w:t>–</w:t>
      </w:r>
      <w:r w:rsidR="00452A0D" w:rsidRPr="00CC5112">
        <w:rPr>
          <w:rFonts w:ascii="Times New Roman" w:hAnsi="Times New Roman"/>
        </w:rPr>
        <w:t xml:space="preserve"> </w:t>
      </w:r>
      <w:r w:rsidR="0030106B" w:rsidRPr="00CC5112">
        <w:rPr>
          <w:rFonts w:ascii="Times New Roman" w:hAnsi="Times New Roman"/>
        </w:rPr>
        <w:t>47563,41</w:t>
      </w:r>
      <w:r w:rsidR="00452A0D" w:rsidRPr="00CC5112">
        <w:rPr>
          <w:rFonts w:ascii="Times New Roman" w:hAnsi="Times New Roman"/>
        </w:rPr>
        <w:t xml:space="preserve"> tūkst. </w:t>
      </w:r>
      <w:r w:rsidRPr="00CC5112">
        <w:rPr>
          <w:rFonts w:ascii="Times New Roman" w:hAnsi="Times New Roman"/>
        </w:rPr>
        <w:t>Eur.</w:t>
      </w:r>
    </w:p>
    <w:p w:rsidR="0081636E" w:rsidRPr="00CC5112" w:rsidRDefault="0081636E" w:rsidP="00BF134D">
      <w:pPr>
        <w:ind w:firstLine="1134"/>
      </w:pPr>
    </w:p>
    <w:p w:rsidR="00A842AE" w:rsidRPr="00CC5112" w:rsidRDefault="006176AE" w:rsidP="00BF134D">
      <w:pPr>
        <w:tabs>
          <w:tab w:val="left" w:pos="915"/>
          <w:tab w:val="left" w:pos="1275"/>
        </w:tabs>
        <w:ind w:firstLine="1134"/>
        <w:jc w:val="both"/>
      </w:pPr>
      <w:r w:rsidRPr="00CC5112">
        <w:rPr>
          <w:b/>
          <w:bCs/>
        </w:rPr>
        <w:t>16</w:t>
      </w:r>
      <w:r w:rsidR="007C01DD" w:rsidRPr="00CC5112">
        <w:rPr>
          <w:b/>
          <w:bCs/>
        </w:rPr>
        <w:t xml:space="preserve">. </w:t>
      </w:r>
      <w:r w:rsidRPr="00CC5112">
        <w:rPr>
          <w:b/>
        </w:rPr>
        <w:t>P</w:t>
      </w:r>
      <w:r w:rsidR="00A842AE" w:rsidRPr="00CC5112">
        <w:rPr>
          <w:b/>
        </w:rPr>
        <w:t>agrindinės veiklos</w:t>
      </w:r>
      <w:r w:rsidRPr="00CC5112">
        <w:rPr>
          <w:b/>
        </w:rPr>
        <w:t xml:space="preserve"> kitos pajamos</w:t>
      </w:r>
      <w:r w:rsidR="00E96B3C" w:rsidRPr="00CC5112">
        <w:rPr>
          <w:b/>
        </w:rPr>
        <w:t xml:space="preserve">, pastaba Nr. </w:t>
      </w:r>
      <w:r w:rsidR="0091606F">
        <w:rPr>
          <w:b/>
        </w:rPr>
        <w:t>P</w:t>
      </w:r>
      <w:r w:rsidR="00E96B3C" w:rsidRPr="00CC5112">
        <w:rPr>
          <w:b/>
        </w:rPr>
        <w:t>21</w:t>
      </w:r>
      <w:r w:rsidR="00A842AE" w:rsidRPr="00CC5112">
        <w:rPr>
          <w:b/>
        </w:rPr>
        <w:t>.</w:t>
      </w:r>
      <w:r w:rsidR="00E96B3C" w:rsidRPr="00CC5112">
        <w:rPr>
          <w:b/>
        </w:rPr>
        <w:t xml:space="preserve"> </w:t>
      </w:r>
      <w:r w:rsidR="00A842AE" w:rsidRPr="00CC5112">
        <w:t xml:space="preserve">Informacija apie </w:t>
      </w:r>
      <w:r w:rsidR="008949C9" w:rsidRPr="00CC5112">
        <w:t>pagrindinės veiklos kitas pajamas pateikta aiškinamojo rašto priede Nr. P21.</w:t>
      </w:r>
    </w:p>
    <w:p w:rsidR="00AA6100" w:rsidRPr="00CC5112" w:rsidRDefault="00AA6100" w:rsidP="00BF134D">
      <w:pPr>
        <w:tabs>
          <w:tab w:val="left" w:pos="915"/>
          <w:tab w:val="left" w:pos="1275"/>
        </w:tabs>
        <w:ind w:firstLine="1134"/>
        <w:jc w:val="both"/>
      </w:pPr>
      <w:r w:rsidRPr="00CC5112">
        <w:t xml:space="preserve">Pagrindinės veiklos kitas pajamas sudaro </w:t>
      </w:r>
      <w:r w:rsidR="0030106B" w:rsidRPr="00CC5112">
        <w:t>23292,71</w:t>
      </w:r>
      <w:r w:rsidR="008A7A45" w:rsidRPr="00CC5112">
        <w:t xml:space="preserve"> tūkst. Eur. tai pajamos iš rinkliavų, suteiktų paslaugų pajamos ir kitos</w:t>
      </w:r>
      <w:r w:rsidRPr="00CC5112">
        <w:t xml:space="preserve">. </w:t>
      </w:r>
    </w:p>
    <w:p w:rsidR="0063520E" w:rsidRPr="00CC5112" w:rsidRDefault="0063520E" w:rsidP="00BF134D">
      <w:pPr>
        <w:tabs>
          <w:tab w:val="left" w:pos="915"/>
          <w:tab w:val="left" w:pos="1275"/>
        </w:tabs>
        <w:ind w:firstLine="1134"/>
        <w:jc w:val="both"/>
        <w:rPr>
          <w:b/>
        </w:rPr>
      </w:pPr>
    </w:p>
    <w:p w:rsidR="00AC3210" w:rsidRPr="00CC5112" w:rsidRDefault="00D25D82" w:rsidP="00BF134D">
      <w:pPr>
        <w:tabs>
          <w:tab w:val="left" w:pos="0"/>
        </w:tabs>
        <w:ind w:firstLine="1134"/>
        <w:jc w:val="both"/>
      </w:pPr>
      <w:r w:rsidRPr="00CC5112">
        <w:rPr>
          <w:b/>
        </w:rPr>
        <w:t>17</w:t>
      </w:r>
      <w:r w:rsidR="00F82FAD" w:rsidRPr="00CC5112">
        <w:rPr>
          <w:b/>
        </w:rPr>
        <w:t>. Pagrindinės v</w:t>
      </w:r>
      <w:r w:rsidR="00666D25" w:rsidRPr="00CC5112">
        <w:rPr>
          <w:b/>
        </w:rPr>
        <w:t xml:space="preserve">eiklos sąnaudos pateikiamos </w:t>
      </w:r>
      <w:r w:rsidR="00AC3210" w:rsidRPr="00CC5112">
        <w:rPr>
          <w:b/>
        </w:rPr>
        <w:t>pagal segmentus</w:t>
      </w:r>
      <w:r w:rsidR="0091606F">
        <w:rPr>
          <w:b/>
        </w:rPr>
        <w:t xml:space="preserve"> P2</w:t>
      </w:r>
      <w:r w:rsidR="00AC3210" w:rsidRPr="00CC5112">
        <w:rPr>
          <w:b/>
        </w:rPr>
        <w:t xml:space="preserve">. </w:t>
      </w:r>
      <w:r w:rsidR="00AC3210" w:rsidRPr="00CC5112">
        <w:t xml:space="preserve">Informacija apie pagrindinės veiklos sąnaudas pagal segmentus pateikta </w:t>
      </w:r>
      <w:r w:rsidR="00666D25" w:rsidRPr="00CC5112">
        <w:t>grafike Nr. 2.</w:t>
      </w:r>
    </w:p>
    <w:p w:rsidR="00471479" w:rsidRPr="00CC5112" w:rsidRDefault="00471479" w:rsidP="005C4119">
      <w:pPr>
        <w:tabs>
          <w:tab w:val="left" w:pos="0"/>
        </w:tabs>
        <w:jc w:val="right"/>
      </w:pPr>
    </w:p>
    <w:p w:rsidR="00471479" w:rsidRPr="00CC5112" w:rsidRDefault="00471479" w:rsidP="005C4119">
      <w:pPr>
        <w:tabs>
          <w:tab w:val="left" w:pos="0"/>
        </w:tabs>
        <w:jc w:val="right"/>
      </w:pPr>
    </w:p>
    <w:p w:rsidR="00471479" w:rsidRPr="00CC5112" w:rsidRDefault="00471479" w:rsidP="005C4119">
      <w:pPr>
        <w:tabs>
          <w:tab w:val="left" w:pos="0"/>
        </w:tabs>
        <w:jc w:val="right"/>
      </w:pPr>
    </w:p>
    <w:p w:rsidR="00471479" w:rsidRPr="00CC5112" w:rsidRDefault="00471479" w:rsidP="005C4119">
      <w:pPr>
        <w:tabs>
          <w:tab w:val="left" w:pos="0"/>
        </w:tabs>
        <w:jc w:val="right"/>
      </w:pPr>
    </w:p>
    <w:p w:rsidR="00471479" w:rsidRPr="00CC5112" w:rsidRDefault="00471479" w:rsidP="005C4119">
      <w:pPr>
        <w:tabs>
          <w:tab w:val="left" w:pos="0"/>
        </w:tabs>
        <w:jc w:val="right"/>
      </w:pPr>
    </w:p>
    <w:p w:rsidR="00471479" w:rsidRDefault="00471479" w:rsidP="005C4119">
      <w:pPr>
        <w:tabs>
          <w:tab w:val="left" w:pos="0"/>
        </w:tabs>
        <w:jc w:val="right"/>
      </w:pPr>
    </w:p>
    <w:p w:rsidR="003546D6" w:rsidRPr="00CC5112" w:rsidRDefault="003546D6" w:rsidP="005C4119">
      <w:pPr>
        <w:tabs>
          <w:tab w:val="left" w:pos="0"/>
        </w:tabs>
        <w:jc w:val="right"/>
      </w:pPr>
    </w:p>
    <w:p w:rsidR="005725E5" w:rsidRPr="00CC5112" w:rsidRDefault="005725E5" w:rsidP="005C4119">
      <w:pPr>
        <w:tabs>
          <w:tab w:val="left" w:pos="0"/>
        </w:tabs>
        <w:jc w:val="right"/>
      </w:pPr>
    </w:p>
    <w:p w:rsidR="00471479" w:rsidRPr="00CC5112" w:rsidRDefault="00471479" w:rsidP="005C4119">
      <w:pPr>
        <w:tabs>
          <w:tab w:val="left" w:pos="0"/>
        </w:tabs>
        <w:jc w:val="right"/>
      </w:pPr>
    </w:p>
    <w:p w:rsidR="005C4119" w:rsidRPr="00CC5112" w:rsidRDefault="005C4119" w:rsidP="005C4119">
      <w:pPr>
        <w:tabs>
          <w:tab w:val="left" w:pos="0"/>
        </w:tabs>
        <w:jc w:val="right"/>
      </w:pPr>
      <w:r w:rsidRPr="00CC5112">
        <w:t>Grafikas Nr. 2</w:t>
      </w:r>
    </w:p>
    <w:p w:rsidR="0030106B" w:rsidRPr="00CC5112" w:rsidRDefault="001E628C" w:rsidP="00722E97">
      <w:pPr>
        <w:tabs>
          <w:tab w:val="left" w:pos="0"/>
        </w:tabs>
        <w:jc w:val="both"/>
        <w:rPr>
          <w:b/>
        </w:rPr>
      </w:pPr>
      <w:r>
        <w:rPr>
          <w:noProof/>
          <w:lang w:eastAsia="lt-LT"/>
        </w:rPr>
        <w:drawing>
          <wp:inline distT="0" distB="0" distL="0" distR="0">
            <wp:extent cx="6109335" cy="3550285"/>
            <wp:effectExtent l="0" t="0" r="24765" b="12065"/>
            <wp:docPr id="2"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106B" w:rsidRPr="00CC5112" w:rsidRDefault="009461F6" w:rsidP="00722E97">
      <w:pPr>
        <w:tabs>
          <w:tab w:val="left" w:pos="0"/>
        </w:tabs>
        <w:jc w:val="both"/>
      </w:pPr>
      <w:r w:rsidRPr="00CC5112">
        <w:tab/>
      </w:r>
    </w:p>
    <w:p w:rsidR="00490D50" w:rsidRPr="00CC5112" w:rsidRDefault="0030106B" w:rsidP="00471479">
      <w:pPr>
        <w:tabs>
          <w:tab w:val="left" w:pos="0"/>
        </w:tabs>
        <w:ind w:firstLine="1134"/>
        <w:jc w:val="both"/>
      </w:pPr>
      <w:r w:rsidRPr="00CC5112">
        <w:tab/>
      </w:r>
      <w:r w:rsidR="00490D50" w:rsidRPr="00CC5112">
        <w:t>Sąnaudos pripažįstamos tą ataskaitinį laikotarpį, kurį jos buvo padarytos, neatsižvelgiant į pinigų išleidimo laiką. Didžiąją</w:t>
      </w:r>
      <w:r w:rsidR="00490D50" w:rsidRPr="00CC5112">
        <w:rPr>
          <w:b/>
        </w:rPr>
        <w:t xml:space="preserve"> </w:t>
      </w:r>
      <w:r w:rsidR="00490D50" w:rsidRPr="00CC5112">
        <w:t>dalį sąnaudų sudaro Švietimo sąnaudos</w:t>
      </w:r>
      <w:r w:rsidR="00C01C9F" w:rsidRPr="00CC5112">
        <w:t xml:space="preserve"> </w:t>
      </w:r>
      <w:r w:rsidR="005C4119" w:rsidRPr="00CC5112">
        <w:t>–</w:t>
      </w:r>
      <w:r w:rsidR="00AA6100" w:rsidRPr="00CC5112">
        <w:t xml:space="preserve"> </w:t>
      </w:r>
      <w:r w:rsidRPr="00CC5112">
        <w:t>54960,45</w:t>
      </w:r>
      <w:r w:rsidR="00490D50" w:rsidRPr="00CC5112">
        <w:t xml:space="preserve"> tūkst. </w:t>
      </w:r>
      <w:r w:rsidR="00C01C9F" w:rsidRPr="00CC5112">
        <w:t>Eur</w:t>
      </w:r>
      <w:r w:rsidR="00490D50" w:rsidRPr="00CC5112">
        <w:t xml:space="preserve"> arba </w:t>
      </w:r>
      <w:r w:rsidRPr="00CC5112">
        <w:t>45,59</w:t>
      </w:r>
      <w:r w:rsidR="00490D50" w:rsidRPr="00CC5112">
        <w:t xml:space="preserve"> proc. visų sąnaudų. Socialinės apsaugos sąnaudos </w:t>
      </w:r>
      <w:r w:rsidR="00B71439" w:rsidRPr="00CC5112">
        <w:t xml:space="preserve">– </w:t>
      </w:r>
      <w:r w:rsidRPr="00CC5112">
        <w:t>23409,33</w:t>
      </w:r>
      <w:r w:rsidR="00490D50" w:rsidRPr="00CC5112">
        <w:t xml:space="preserve"> tūkst. </w:t>
      </w:r>
      <w:r w:rsidR="00C01C9F" w:rsidRPr="00CC5112">
        <w:t>Eur</w:t>
      </w:r>
      <w:r w:rsidR="00490D50" w:rsidRPr="00CC5112">
        <w:t xml:space="preserve"> arba </w:t>
      </w:r>
      <w:r w:rsidRPr="00CC5112">
        <w:t>19,42</w:t>
      </w:r>
      <w:r w:rsidR="00490D50" w:rsidRPr="00CC5112">
        <w:t xml:space="preserve"> proc. visų sąnaudų. Per ataskaitinį laikotarpį pagrindinės veiklos sąnaudų padidėjo </w:t>
      </w:r>
      <w:r w:rsidRPr="00CC5112">
        <w:t>10327,61</w:t>
      </w:r>
      <w:r w:rsidR="00490D50" w:rsidRPr="00CC5112">
        <w:t xml:space="preserve"> tūkst. </w:t>
      </w:r>
      <w:r w:rsidR="005C4119" w:rsidRPr="00CC5112">
        <w:t xml:space="preserve">Eur arba </w:t>
      </w:r>
      <w:r w:rsidRPr="00CC5112">
        <w:t>9,37</w:t>
      </w:r>
      <w:r w:rsidR="0066159D" w:rsidRPr="00CC5112">
        <w:t xml:space="preserve"> proc.</w:t>
      </w:r>
    </w:p>
    <w:p w:rsidR="0066159D" w:rsidRPr="00CC5112" w:rsidRDefault="0066159D" w:rsidP="00471479">
      <w:pPr>
        <w:tabs>
          <w:tab w:val="left" w:pos="0"/>
        </w:tabs>
        <w:ind w:firstLine="1134"/>
        <w:jc w:val="both"/>
        <w:rPr>
          <w:b/>
        </w:rPr>
      </w:pPr>
    </w:p>
    <w:p w:rsidR="00513E30" w:rsidRPr="00CC5112" w:rsidRDefault="00D25D82" w:rsidP="00471479">
      <w:pPr>
        <w:tabs>
          <w:tab w:val="left" w:pos="0"/>
        </w:tabs>
        <w:ind w:firstLine="1134"/>
        <w:jc w:val="both"/>
      </w:pPr>
      <w:r w:rsidRPr="00CC5112">
        <w:rPr>
          <w:b/>
        </w:rPr>
        <w:tab/>
      </w:r>
      <w:r w:rsidR="00F82FAD" w:rsidRPr="00CC5112">
        <w:rPr>
          <w:b/>
        </w:rPr>
        <w:t>1</w:t>
      </w:r>
      <w:r w:rsidRPr="00CC5112">
        <w:rPr>
          <w:b/>
        </w:rPr>
        <w:t>8</w:t>
      </w:r>
      <w:r w:rsidR="007C01DD" w:rsidRPr="00CC5112">
        <w:rPr>
          <w:b/>
        </w:rPr>
        <w:t>.</w:t>
      </w:r>
      <w:r w:rsidR="007C01DD" w:rsidRPr="00CC5112">
        <w:t xml:space="preserve"> </w:t>
      </w:r>
      <w:r w:rsidR="00962851" w:rsidRPr="00CC5112">
        <w:rPr>
          <w:b/>
        </w:rPr>
        <w:t>Finansinės ir investicinės veiklos pajamos ir sąnaudos</w:t>
      </w:r>
      <w:r w:rsidR="00F82FAD" w:rsidRPr="00CC5112">
        <w:rPr>
          <w:b/>
        </w:rPr>
        <w:t>, pastaba Nr. P23</w:t>
      </w:r>
      <w:r w:rsidR="00962851" w:rsidRPr="00CC5112">
        <w:t>.</w:t>
      </w:r>
    </w:p>
    <w:p w:rsidR="007431FF" w:rsidRPr="00CC5112" w:rsidRDefault="00513E30" w:rsidP="00471479">
      <w:pPr>
        <w:tabs>
          <w:tab w:val="left" w:pos="0"/>
        </w:tabs>
        <w:ind w:firstLine="1134"/>
        <w:jc w:val="both"/>
      </w:pPr>
      <w:r w:rsidRPr="00CC5112">
        <w:tab/>
      </w:r>
      <w:r w:rsidR="00962851" w:rsidRPr="00CC5112">
        <w:t xml:space="preserve"> </w:t>
      </w:r>
      <w:r w:rsidR="007431FF" w:rsidRPr="00CC5112">
        <w:t xml:space="preserve">Informacija apie finansinės ir investicinės veiklos pajamas ir sąnaudas pateikta </w:t>
      </w:r>
      <w:r w:rsidR="00A814D1" w:rsidRPr="00CC5112">
        <w:t>aiškinamojo rašto priede Nr. P23.</w:t>
      </w:r>
    </w:p>
    <w:p w:rsidR="00E12882" w:rsidRPr="00CC5112" w:rsidRDefault="007431FF" w:rsidP="00471479">
      <w:pPr>
        <w:tabs>
          <w:tab w:val="left" w:pos="0"/>
        </w:tabs>
        <w:ind w:firstLine="1134"/>
        <w:jc w:val="both"/>
      </w:pPr>
      <w:r w:rsidRPr="00CC5112">
        <w:tab/>
      </w:r>
    </w:p>
    <w:p w:rsidR="00513E30" w:rsidRPr="00CC5112" w:rsidRDefault="0030304F" w:rsidP="00471479">
      <w:pPr>
        <w:tabs>
          <w:tab w:val="left" w:pos="1275"/>
          <w:tab w:val="left" w:pos="1305"/>
        </w:tabs>
        <w:ind w:firstLine="1134"/>
        <w:jc w:val="both"/>
      </w:pPr>
      <w:r w:rsidRPr="00CC5112">
        <w:rPr>
          <w:b/>
          <w:bCs/>
        </w:rPr>
        <w:tab/>
      </w:r>
      <w:r w:rsidR="00F82FAD" w:rsidRPr="00CC5112">
        <w:rPr>
          <w:b/>
          <w:bCs/>
        </w:rPr>
        <w:t>1</w:t>
      </w:r>
      <w:r w:rsidR="00D25D82" w:rsidRPr="00CC5112">
        <w:rPr>
          <w:b/>
          <w:bCs/>
        </w:rPr>
        <w:t>9</w:t>
      </w:r>
      <w:r w:rsidR="007C01DD" w:rsidRPr="00CC5112">
        <w:rPr>
          <w:b/>
          <w:bCs/>
        </w:rPr>
        <w:t xml:space="preserve">. </w:t>
      </w:r>
      <w:r w:rsidR="00962851" w:rsidRPr="00CC5112">
        <w:rPr>
          <w:b/>
        </w:rPr>
        <w:t>Finansinės rizikos valdymas</w:t>
      </w:r>
      <w:r w:rsidR="00F82FAD" w:rsidRPr="00CC5112">
        <w:rPr>
          <w:b/>
        </w:rPr>
        <w:t>, pastaba Nr. P24</w:t>
      </w:r>
      <w:r w:rsidR="00962851" w:rsidRPr="00CC5112">
        <w:t>.</w:t>
      </w:r>
    </w:p>
    <w:p w:rsidR="00962851" w:rsidRPr="00CC5112" w:rsidRDefault="00513E30" w:rsidP="00471479">
      <w:pPr>
        <w:tabs>
          <w:tab w:val="left" w:pos="1275"/>
          <w:tab w:val="left" w:pos="1305"/>
        </w:tabs>
        <w:ind w:firstLine="1134"/>
        <w:jc w:val="both"/>
      </w:pPr>
      <w:r w:rsidRPr="00CC5112">
        <w:tab/>
      </w:r>
      <w:r w:rsidR="00962851" w:rsidRPr="00CC5112">
        <w:t xml:space="preserve"> Informacija apie įsipareigojimų dalį nacionaline ir užsienio valiutomis pateikta </w:t>
      </w:r>
      <w:r w:rsidR="00A814D1" w:rsidRPr="00CC5112">
        <w:t>aiškinamojo rašto priede Nr. P24.</w:t>
      </w:r>
    </w:p>
    <w:p w:rsidR="00FE05C8" w:rsidRPr="00CC5112" w:rsidRDefault="00FE05C8" w:rsidP="00471479">
      <w:pPr>
        <w:tabs>
          <w:tab w:val="left" w:pos="1275"/>
          <w:tab w:val="left" w:pos="1305"/>
        </w:tabs>
        <w:ind w:firstLine="1134"/>
        <w:jc w:val="both"/>
      </w:pPr>
    </w:p>
    <w:p w:rsidR="00962851" w:rsidRPr="00CC5112" w:rsidRDefault="00962851" w:rsidP="00471479">
      <w:pPr>
        <w:tabs>
          <w:tab w:val="left" w:pos="1275"/>
          <w:tab w:val="left" w:pos="1305"/>
        </w:tabs>
        <w:ind w:firstLine="1134"/>
        <w:jc w:val="both"/>
        <w:rPr>
          <w:b/>
        </w:rPr>
      </w:pPr>
      <w:r w:rsidRPr="00CC5112">
        <w:tab/>
      </w:r>
      <w:r w:rsidR="00D25D82" w:rsidRPr="00CC5112">
        <w:rPr>
          <w:b/>
        </w:rPr>
        <w:t>20</w:t>
      </w:r>
      <w:r w:rsidR="007C01DD" w:rsidRPr="00CC5112">
        <w:rPr>
          <w:b/>
        </w:rPr>
        <w:t>.</w:t>
      </w:r>
      <w:r w:rsidRPr="00CC5112">
        <w:rPr>
          <w:b/>
          <w:bCs/>
        </w:rPr>
        <w:t xml:space="preserve"> </w:t>
      </w:r>
      <w:r w:rsidR="00D25D82" w:rsidRPr="00CC5112">
        <w:rPr>
          <w:b/>
        </w:rPr>
        <w:t>Apskaitos politikos keitimo ir esminių apskaitos kla</w:t>
      </w:r>
      <w:r w:rsidR="00820832" w:rsidRPr="00CC5112">
        <w:rPr>
          <w:b/>
        </w:rPr>
        <w:t xml:space="preserve">idų taisymo įtaka, pastaba Nr. </w:t>
      </w:r>
      <w:r w:rsidR="0091606F">
        <w:rPr>
          <w:b/>
        </w:rPr>
        <w:t>P</w:t>
      </w:r>
      <w:r w:rsidR="00D25D82" w:rsidRPr="00CC5112">
        <w:rPr>
          <w:b/>
        </w:rPr>
        <w:t xml:space="preserve">1. </w:t>
      </w:r>
    </w:p>
    <w:p w:rsidR="00D25D82" w:rsidRPr="00CC5112" w:rsidRDefault="00D25D82" w:rsidP="00471479">
      <w:pPr>
        <w:tabs>
          <w:tab w:val="left" w:pos="1275"/>
          <w:tab w:val="left" w:pos="1305"/>
        </w:tabs>
        <w:ind w:firstLine="1134"/>
        <w:jc w:val="both"/>
      </w:pPr>
      <w:r w:rsidRPr="00CC5112">
        <w:rPr>
          <w:b/>
        </w:rPr>
        <w:tab/>
      </w:r>
      <w:r w:rsidRPr="00CC5112">
        <w:t>Apskaitos klaidos 201</w:t>
      </w:r>
      <w:r w:rsidR="00820832" w:rsidRPr="00CC5112">
        <w:t>7</w:t>
      </w:r>
      <w:r w:rsidRPr="00CC5112">
        <w:t xml:space="preserve"> m. buvo taisomos apskaitos klaidų taisymo sąskaitose</w:t>
      </w:r>
      <w:r w:rsidR="00FE05C8" w:rsidRPr="00CC5112">
        <w:t xml:space="preserve">. </w:t>
      </w:r>
      <w:r w:rsidRPr="00CC5112">
        <w:t>Did</w:t>
      </w:r>
      <w:r w:rsidR="00747289" w:rsidRPr="00CC5112">
        <w:t>žiąją</w:t>
      </w:r>
      <w:r w:rsidR="0066159D" w:rsidRPr="00CC5112">
        <w:t xml:space="preserve"> įtaką klaidų taisymui tu</w:t>
      </w:r>
      <w:r w:rsidRPr="00CC5112">
        <w:t>rėjo</w:t>
      </w:r>
      <w:r w:rsidR="00FE05C8" w:rsidRPr="00CC5112">
        <w:t xml:space="preserve"> finansavimo sumų eliminavimas</w:t>
      </w:r>
      <w:r w:rsidR="003021AA" w:rsidRPr="00CC5112">
        <w:t xml:space="preserve"> ir VSS klaidų taisymai</w:t>
      </w:r>
      <w:r w:rsidR="00A814D1" w:rsidRPr="00CC5112">
        <w:t>.</w:t>
      </w:r>
    </w:p>
    <w:p w:rsidR="00FE05C8" w:rsidRPr="00CC5112" w:rsidRDefault="00FE05C8" w:rsidP="00722E97">
      <w:pPr>
        <w:tabs>
          <w:tab w:val="left" w:pos="1275"/>
        </w:tabs>
        <w:jc w:val="both"/>
      </w:pPr>
    </w:p>
    <w:p w:rsidR="00471479" w:rsidRPr="00CC5112" w:rsidRDefault="00471479" w:rsidP="00722E97">
      <w:pPr>
        <w:tabs>
          <w:tab w:val="left" w:pos="1275"/>
        </w:tabs>
        <w:jc w:val="both"/>
      </w:pPr>
    </w:p>
    <w:p w:rsidR="00FE05C8" w:rsidRPr="00CC5112" w:rsidRDefault="00FE05C8" w:rsidP="00722E97">
      <w:pPr>
        <w:tabs>
          <w:tab w:val="left" w:pos="1275"/>
        </w:tabs>
        <w:jc w:val="both"/>
      </w:pPr>
    </w:p>
    <w:p w:rsidR="001B34A6" w:rsidRPr="00CC5112" w:rsidRDefault="00962851" w:rsidP="00722E97">
      <w:pPr>
        <w:tabs>
          <w:tab w:val="left" w:pos="1275"/>
        </w:tabs>
        <w:jc w:val="both"/>
      </w:pPr>
      <w:r w:rsidRPr="00CC5112">
        <w:t>Administracijos direktorius</w:t>
      </w:r>
      <w:r w:rsidR="00616CD7" w:rsidRPr="00CC5112">
        <w:tab/>
      </w:r>
      <w:r w:rsidR="00616CD7" w:rsidRPr="00CC5112">
        <w:tab/>
      </w:r>
      <w:r w:rsidR="00616CD7" w:rsidRPr="00CC5112">
        <w:tab/>
      </w:r>
      <w:r w:rsidR="00616CD7" w:rsidRPr="00CC5112">
        <w:tab/>
      </w:r>
      <w:r w:rsidR="003021AA" w:rsidRPr="00CC5112">
        <w:t>Antanas Bartulis</w:t>
      </w:r>
    </w:p>
    <w:p w:rsidR="001B34A6" w:rsidRPr="00CC5112" w:rsidRDefault="001B34A6" w:rsidP="00722E97">
      <w:pPr>
        <w:tabs>
          <w:tab w:val="left" w:pos="1275"/>
        </w:tabs>
        <w:jc w:val="both"/>
      </w:pPr>
    </w:p>
    <w:p w:rsidR="008C0F42" w:rsidRPr="00CC5112" w:rsidRDefault="008C0F42" w:rsidP="00722E97">
      <w:pPr>
        <w:tabs>
          <w:tab w:val="left" w:pos="1275"/>
        </w:tabs>
        <w:jc w:val="both"/>
      </w:pPr>
    </w:p>
    <w:p w:rsidR="00A814D1" w:rsidRPr="00CC5112" w:rsidRDefault="00A814D1" w:rsidP="00722E97">
      <w:pPr>
        <w:tabs>
          <w:tab w:val="left" w:pos="1275"/>
        </w:tabs>
        <w:jc w:val="both"/>
      </w:pPr>
    </w:p>
    <w:p w:rsidR="001B34A6" w:rsidRPr="00CC5112" w:rsidRDefault="00FE05C8" w:rsidP="00722E97">
      <w:pPr>
        <w:tabs>
          <w:tab w:val="left" w:pos="915"/>
          <w:tab w:val="left" w:pos="1275"/>
        </w:tabs>
        <w:jc w:val="both"/>
      </w:pPr>
      <w:r w:rsidRPr="00CC5112">
        <w:t>Strateginio planavimo ir f</w:t>
      </w:r>
      <w:r w:rsidR="001B34A6" w:rsidRPr="00CC5112">
        <w:t>inansų skyriaus</w:t>
      </w:r>
      <w:r w:rsidR="00616CD7" w:rsidRPr="00CC5112">
        <w:t xml:space="preserve"> vedėja</w:t>
      </w:r>
      <w:r w:rsidRPr="00CC5112">
        <w:tab/>
      </w:r>
      <w:r w:rsidRPr="00CC5112">
        <w:tab/>
      </w:r>
      <w:r w:rsidRPr="00CC5112">
        <w:tab/>
      </w:r>
      <w:r w:rsidR="00616CD7" w:rsidRPr="00CC5112">
        <w:t>Daiva Kerutienė</w:t>
      </w:r>
    </w:p>
    <w:sectPr w:rsidR="001B34A6" w:rsidRPr="00CC5112" w:rsidSect="00FE05C8">
      <w:headerReference w:type="even" r:id="rId11"/>
      <w:headerReference w:type="default" r:id="rId12"/>
      <w:pgSz w:w="11906" w:h="16838"/>
      <w:pgMar w:top="1134" w:right="567" w:bottom="1134" w:left="1690"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8E" w:rsidRDefault="0060138E">
      <w:r>
        <w:separator/>
      </w:r>
    </w:p>
  </w:endnote>
  <w:endnote w:type="continuationSeparator" w:id="0">
    <w:p w:rsidR="0060138E" w:rsidRDefault="0060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20002A87" w:usb1="00000000" w:usb2="00000000"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ourier">
    <w:panose1 w:val="02070309020205020404"/>
    <w:charset w:val="00"/>
    <w:family w:val="modern"/>
    <w:pitch w:val="fixed"/>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HG Mincho Light J">
    <w:altName w:val="Times New Roman"/>
    <w:charset w:val="BA"/>
    <w:family w:val="auto"/>
    <w:pitch w:val="variable"/>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8E" w:rsidRDefault="0060138E">
      <w:r>
        <w:separator/>
      </w:r>
    </w:p>
  </w:footnote>
  <w:footnote w:type="continuationSeparator" w:id="0">
    <w:p w:rsidR="0060138E" w:rsidRDefault="00601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46" w:rsidRDefault="00771246" w:rsidP="00E31FE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71246" w:rsidRDefault="00771246">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46" w:rsidRDefault="00771246" w:rsidP="00E31FE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E628C">
      <w:rPr>
        <w:rStyle w:val="Puslapionumeris"/>
        <w:noProof/>
      </w:rPr>
      <w:t>21</w:t>
    </w:r>
    <w:r>
      <w:rPr>
        <w:rStyle w:val="Puslapionumeris"/>
      </w:rPr>
      <w:fldChar w:fldCharType="end"/>
    </w:r>
  </w:p>
  <w:p w:rsidR="00771246" w:rsidRDefault="0077124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FC27FBC"/>
    <w:name w:val="WW8Num10"/>
    <w:lvl w:ilvl="0">
      <w:start w:val="1"/>
      <w:numFmt w:val="decimal"/>
      <w:lvlText w:val="%1."/>
      <w:lvlJc w:val="left"/>
      <w:pPr>
        <w:tabs>
          <w:tab w:val="num" w:pos="360"/>
        </w:tabs>
        <w:ind w:left="360" w:hanging="360"/>
      </w:pPr>
      <w:rPr>
        <w:rFonts w:ascii="Times New Roman" w:eastAsia="Times New Roman" w:hAnsi="Times New Roman" w:cs="Times New Roman"/>
        <w:strike w:val="0"/>
      </w:rPr>
    </w:lvl>
    <w:lvl w:ilvl="1">
      <w:start w:val="1"/>
      <w:numFmt w:val="decimal"/>
      <w:lvlText w:val="%2)"/>
      <w:lvlJc w:val="left"/>
      <w:pPr>
        <w:tabs>
          <w:tab w:val="num" w:pos="928"/>
        </w:tabs>
        <w:ind w:left="928" w:hanging="360"/>
      </w:pPr>
      <w:rPr>
        <w:rFonts w:ascii="Times New Roman" w:eastAsia="Times New Roman" w:hAnsi="Times New Roman" w:cs="Times New Roman"/>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
    <w:nsid w:val="072544FE"/>
    <w:multiLevelType w:val="hybridMultilevel"/>
    <w:tmpl w:val="D3200C10"/>
    <w:lvl w:ilvl="0" w:tplc="550E7A8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092F7B7B"/>
    <w:multiLevelType w:val="hybridMultilevel"/>
    <w:tmpl w:val="01FA4630"/>
    <w:lvl w:ilvl="0" w:tplc="2F6EFD4C">
      <w:start w:val="1"/>
      <w:numFmt w:val="decimal"/>
      <w:lvlText w:val="%1."/>
      <w:lvlJc w:val="left"/>
      <w:pPr>
        <w:tabs>
          <w:tab w:val="num" w:pos="1629"/>
        </w:tabs>
        <w:ind w:left="1629" w:hanging="360"/>
      </w:pPr>
      <w:rPr>
        <w:rFonts w:hint="default"/>
      </w:rPr>
    </w:lvl>
    <w:lvl w:ilvl="1" w:tplc="04270019" w:tentative="1">
      <w:start w:val="1"/>
      <w:numFmt w:val="lowerLetter"/>
      <w:lvlText w:val="%2."/>
      <w:lvlJc w:val="left"/>
      <w:pPr>
        <w:tabs>
          <w:tab w:val="num" w:pos="2349"/>
        </w:tabs>
        <w:ind w:left="2349" w:hanging="360"/>
      </w:pPr>
    </w:lvl>
    <w:lvl w:ilvl="2" w:tplc="0427001B" w:tentative="1">
      <w:start w:val="1"/>
      <w:numFmt w:val="lowerRoman"/>
      <w:lvlText w:val="%3."/>
      <w:lvlJc w:val="right"/>
      <w:pPr>
        <w:tabs>
          <w:tab w:val="num" w:pos="3069"/>
        </w:tabs>
        <w:ind w:left="3069" w:hanging="180"/>
      </w:pPr>
    </w:lvl>
    <w:lvl w:ilvl="3" w:tplc="0427000F" w:tentative="1">
      <w:start w:val="1"/>
      <w:numFmt w:val="decimal"/>
      <w:lvlText w:val="%4."/>
      <w:lvlJc w:val="left"/>
      <w:pPr>
        <w:tabs>
          <w:tab w:val="num" w:pos="3789"/>
        </w:tabs>
        <w:ind w:left="3789" w:hanging="360"/>
      </w:pPr>
    </w:lvl>
    <w:lvl w:ilvl="4" w:tplc="04270019" w:tentative="1">
      <w:start w:val="1"/>
      <w:numFmt w:val="lowerLetter"/>
      <w:lvlText w:val="%5."/>
      <w:lvlJc w:val="left"/>
      <w:pPr>
        <w:tabs>
          <w:tab w:val="num" w:pos="4509"/>
        </w:tabs>
        <w:ind w:left="4509" w:hanging="360"/>
      </w:pPr>
    </w:lvl>
    <w:lvl w:ilvl="5" w:tplc="0427001B" w:tentative="1">
      <w:start w:val="1"/>
      <w:numFmt w:val="lowerRoman"/>
      <w:lvlText w:val="%6."/>
      <w:lvlJc w:val="right"/>
      <w:pPr>
        <w:tabs>
          <w:tab w:val="num" w:pos="5229"/>
        </w:tabs>
        <w:ind w:left="5229" w:hanging="180"/>
      </w:pPr>
    </w:lvl>
    <w:lvl w:ilvl="6" w:tplc="0427000F" w:tentative="1">
      <w:start w:val="1"/>
      <w:numFmt w:val="decimal"/>
      <w:lvlText w:val="%7."/>
      <w:lvlJc w:val="left"/>
      <w:pPr>
        <w:tabs>
          <w:tab w:val="num" w:pos="5949"/>
        </w:tabs>
        <w:ind w:left="5949" w:hanging="360"/>
      </w:pPr>
    </w:lvl>
    <w:lvl w:ilvl="7" w:tplc="04270019" w:tentative="1">
      <w:start w:val="1"/>
      <w:numFmt w:val="lowerLetter"/>
      <w:lvlText w:val="%8."/>
      <w:lvlJc w:val="left"/>
      <w:pPr>
        <w:tabs>
          <w:tab w:val="num" w:pos="6669"/>
        </w:tabs>
        <w:ind w:left="6669" w:hanging="360"/>
      </w:pPr>
    </w:lvl>
    <w:lvl w:ilvl="8" w:tplc="0427001B" w:tentative="1">
      <w:start w:val="1"/>
      <w:numFmt w:val="lowerRoman"/>
      <w:lvlText w:val="%9."/>
      <w:lvlJc w:val="right"/>
      <w:pPr>
        <w:tabs>
          <w:tab w:val="num" w:pos="7389"/>
        </w:tabs>
        <w:ind w:left="7389" w:hanging="180"/>
      </w:pPr>
    </w:lvl>
  </w:abstractNum>
  <w:abstractNum w:abstractNumId="3">
    <w:nsid w:val="0D5A79E2"/>
    <w:multiLevelType w:val="hybridMultilevel"/>
    <w:tmpl w:val="14DA2C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FFB5196"/>
    <w:multiLevelType w:val="multilevel"/>
    <w:tmpl w:val="DC263E34"/>
    <w:lvl w:ilvl="0">
      <w:start w:val="1"/>
      <w:numFmt w:val="decimal"/>
      <w:pStyle w:val="Sraas1"/>
      <w:lvlText w:val="%1."/>
      <w:lvlJc w:val="left"/>
      <w:pPr>
        <w:ind w:left="2117" w:hanging="840"/>
      </w:pPr>
      <w:rPr>
        <w:rFonts w:hint="default"/>
        <w:b w:val="0"/>
        <w:color w:val="auto"/>
      </w:rPr>
    </w:lvl>
    <w:lvl w:ilvl="1">
      <w:start w:val="1"/>
      <w:numFmt w:val="decimal"/>
      <w:pStyle w:val="Sraas11"/>
      <w:isLgl/>
      <w:lvlText w:val="%1.%2."/>
      <w:lvlJc w:val="left"/>
      <w:pPr>
        <w:ind w:left="1140" w:hanging="42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482" w:hanging="1080"/>
      </w:pPr>
      <w:rPr>
        <w:rFonts w:hint="default"/>
      </w:rPr>
    </w:lvl>
    <w:lvl w:ilvl="6">
      <w:start w:val="1"/>
      <w:numFmt w:val="decimal"/>
      <w:isLgl/>
      <w:lvlText w:val="%1.%2.%3.%4.%5.%6.%7."/>
      <w:lvlJc w:val="left"/>
      <w:pPr>
        <w:ind w:left="5409" w:hanging="1440"/>
      </w:pPr>
      <w:rPr>
        <w:rFonts w:hint="default"/>
      </w:rPr>
    </w:lvl>
    <w:lvl w:ilvl="7">
      <w:start w:val="1"/>
      <w:numFmt w:val="decimal"/>
      <w:isLgl/>
      <w:lvlText w:val="%1.%2.%3.%4.%5.%6.%7.%8."/>
      <w:lvlJc w:val="left"/>
      <w:pPr>
        <w:ind w:left="5976" w:hanging="1440"/>
      </w:pPr>
      <w:rPr>
        <w:rFonts w:hint="default"/>
      </w:rPr>
    </w:lvl>
    <w:lvl w:ilvl="8">
      <w:start w:val="1"/>
      <w:numFmt w:val="decimal"/>
      <w:isLgl/>
      <w:lvlText w:val="%1.%2.%3.%4.%5.%6.%7.%8.%9."/>
      <w:lvlJc w:val="left"/>
      <w:pPr>
        <w:ind w:left="6903" w:hanging="1800"/>
      </w:pPr>
      <w:rPr>
        <w:rFonts w:hint="default"/>
      </w:rPr>
    </w:lvl>
  </w:abstractNum>
  <w:abstractNum w:abstractNumId="5">
    <w:nsid w:val="14400D49"/>
    <w:multiLevelType w:val="hybridMultilevel"/>
    <w:tmpl w:val="732AAB18"/>
    <w:lvl w:ilvl="0" w:tplc="7DF49592">
      <w:start w:val="2"/>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A2239AD"/>
    <w:multiLevelType w:val="hybridMultilevel"/>
    <w:tmpl w:val="B016C9FC"/>
    <w:lvl w:ilvl="0" w:tplc="04270011">
      <w:start w:val="1"/>
      <w:numFmt w:val="decimal"/>
      <w:lvlText w:val="%1)"/>
      <w:lvlJc w:val="left"/>
      <w:pPr>
        <w:ind w:left="-4034" w:hanging="360"/>
      </w:pPr>
    </w:lvl>
    <w:lvl w:ilvl="1" w:tplc="04270019" w:tentative="1">
      <w:start w:val="1"/>
      <w:numFmt w:val="lowerLetter"/>
      <w:lvlText w:val="%2."/>
      <w:lvlJc w:val="left"/>
      <w:pPr>
        <w:ind w:left="-3314" w:hanging="360"/>
      </w:pPr>
    </w:lvl>
    <w:lvl w:ilvl="2" w:tplc="0427001B" w:tentative="1">
      <w:start w:val="1"/>
      <w:numFmt w:val="lowerRoman"/>
      <w:lvlText w:val="%3."/>
      <w:lvlJc w:val="right"/>
      <w:pPr>
        <w:ind w:left="-2594" w:hanging="180"/>
      </w:pPr>
    </w:lvl>
    <w:lvl w:ilvl="3" w:tplc="0427000F" w:tentative="1">
      <w:start w:val="1"/>
      <w:numFmt w:val="decimal"/>
      <w:lvlText w:val="%4."/>
      <w:lvlJc w:val="left"/>
      <w:pPr>
        <w:ind w:left="-1874" w:hanging="360"/>
      </w:pPr>
    </w:lvl>
    <w:lvl w:ilvl="4" w:tplc="04270019" w:tentative="1">
      <w:start w:val="1"/>
      <w:numFmt w:val="lowerLetter"/>
      <w:lvlText w:val="%5."/>
      <w:lvlJc w:val="left"/>
      <w:pPr>
        <w:ind w:left="-1154" w:hanging="360"/>
      </w:pPr>
    </w:lvl>
    <w:lvl w:ilvl="5" w:tplc="0427001B" w:tentative="1">
      <w:start w:val="1"/>
      <w:numFmt w:val="lowerRoman"/>
      <w:lvlText w:val="%6."/>
      <w:lvlJc w:val="right"/>
      <w:pPr>
        <w:ind w:left="-434" w:hanging="180"/>
      </w:pPr>
    </w:lvl>
    <w:lvl w:ilvl="6" w:tplc="0427000F" w:tentative="1">
      <w:start w:val="1"/>
      <w:numFmt w:val="decimal"/>
      <w:lvlText w:val="%7."/>
      <w:lvlJc w:val="left"/>
      <w:pPr>
        <w:ind w:left="286" w:hanging="360"/>
      </w:pPr>
    </w:lvl>
    <w:lvl w:ilvl="7" w:tplc="04270019" w:tentative="1">
      <w:start w:val="1"/>
      <w:numFmt w:val="lowerLetter"/>
      <w:lvlText w:val="%8."/>
      <w:lvlJc w:val="left"/>
      <w:pPr>
        <w:ind w:left="1006" w:hanging="360"/>
      </w:pPr>
    </w:lvl>
    <w:lvl w:ilvl="8" w:tplc="0427001B" w:tentative="1">
      <w:start w:val="1"/>
      <w:numFmt w:val="lowerRoman"/>
      <w:lvlText w:val="%9."/>
      <w:lvlJc w:val="right"/>
      <w:pPr>
        <w:ind w:left="1726" w:hanging="180"/>
      </w:pPr>
    </w:lvl>
  </w:abstractNum>
  <w:abstractNum w:abstractNumId="7">
    <w:nsid w:val="29555D40"/>
    <w:multiLevelType w:val="hybridMultilevel"/>
    <w:tmpl w:val="4316391E"/>
    <w:lvl w:ilvl="0" w:tplc="54F257FE">
      <w:start w:val="1"/>
      <w:numFmt w:val="decimal"/>
      <w:lvlText w:val="%1)"/>
      <w:lvlJc w:val="left"/>
      <w:pPr>
        <w:ind w:left="928" w:hanging="360"/>
      </w:pPr>
      <w:rPr>
        <w:rFonts w:hint="default"/>
      </w:rPr>
    </w:lvl>
    <w:lvl w:ilvl="1" w:tplc="04270019">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8">
    <w:nsid w:val="2DDC014B"/>
    <w:multiLevelType w:val="multilevel"/>
    <w:tmpl w:val="FFC27FBC"/>
    <w:lvl w:ilvl="0">
      <w:start w:val="1"/>
      <w:numFmt w:val="decimal"/>
      <w:lvlText w:val="%1."/>
      <w:lvlJc w:val="left"/>
      <w:pPr>
        <w:tabs>
          <w:tab w:val="num" w:pos="360"/>
        </w:tabs>
        <w:ind w:left="360" w:hanging="360"/>
      </w:pPr>
      <w:rPr>
        <w:rFonts w:ascii="Times New Roman" w:eastAsia="Times New Roman" w:hAnsi="Times New Roman" w:cs="Times New Roman"/>
        <w:strike w:val="0"/>
      </w:rPr>
    </w:lvl>
    <w:lvl w:ilvl="1">
      <w:start w:val="1"/>
      <w:numFmt w:val="decimal"/>
      <w:lvlText w:val="%2)"/>
      <w:lvlJc w:val="left"/>
      <w:pPr>
        <w:tabs>
          <w:tab w:val="num" w:pos="900"/>
        </w:tabs>
        <w:ind w:left="900" w:hanging="360"/>
      </w:pPr>
      <w:rPr>
        <w:rFonts w:ascii="Times New Roman" w:eastAsia="Times New Roman" w:hAnsi="Times New Roman" w:cs="Times New Roman"/>
      </w:r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9">
    <w:nsid w:val="308A6204"/>
    <w:multiLevelType w:val="hybridMultilevel"/>
    <w:tmpl w:val="BD2604EA"/>
    <w:lvl w:ilvl="0" w:tplc="E0223C90">
      <w:start w:val="1"/>
      <w:numFmt w:val="decimal"/>
      <w:lvlText w:val="%1)"/>
      <w:lvlJc w:val="left"/>
      <w:pPr>
        <w:ind w:left="927" w:hanging="360"/>
      </w:pPr>
      <w:rPr>
        <w:rFonts w:hint="default"/>
      </w:rPr>
    </w:lvl>
    <w:lvl w:ilvl="1" w:tplc="04270019">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0">
    <w:nsid w:val="3B770AFB"/>
    <w:multiLevelType w:val="hybridMultilevel"/>
    <w:tmpl w:val="8E5E50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46DC3273"/>
    <w:multiLevelType w:val="hybridMultilevel"/>
    <w:tmpl w:val="37C4B6D2"/>
    <w:lvl w:ilvl="0" w:tplc="04270001">
      <w:start w:val="201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EBF33DB"/>
    <w:multiLevelType w:val="hybridMultilevel"/>
    <w:tmpl w:val="A5CAA348"/>
    <w:lvl w:ilvl="0" w:tplc="AD0C2DE2">
      <w:start w:val="1"/>
      <w:numFmt w:val="decimal"/>
      <w:lvlText w:val="%1)"/>
      <w:lvlJc w:val="left"/>
      <w:pPr>
        <w:ind w:left="987" w:hanging="360"/>
      </w:pPr>
      <w:rPr>
        <w:rFonts w:hint="default"/>
      </w:rPr>
    </w:lvl>
    <w:lvl w:ilvl="1" w:tplc="04270019">
      <w:start w:val="1"/>
      <w:numFmt w:val="lowerLetter"/>
      <w:lvlText w:val="%2."/>
      <w:lvlJc w:val="left"/>
      <w:pPr>
        <w:ind w:left="1707" w:hanging="360"/>
      </w:pPr>
    </w:lvl>
    <w:lvl w:ilvl="2" w:tplc="0427001B" w:tentative="1">
      <w:start w:val="1"/>
      <w:numFmt w:val="lowerRoman"/>
      <w:lvlText w:val="%3."/>
      <w:lvlJc w:val="right"/>
      <w:pPr>
        <w:ind w:left="2427" w:hanging="180"/>
      </w:pPr>
    </w:lvl>
    <w:lvl w:ilvl="3" w:tplc="0427000F" w:tentative="1">
      <w:start w:val="1"/>
      <w:numFmt w:val="decimal"/>
      <w:lvlText w:val="%4."/>
      <w:lvlJc w:val="left"/>
      <w:pPr>
        <w:ind w:left="3147" w:hanging="360"/>
      </w:pPr>
    </w:lvl>
    <w:lvl w:ilvl="4" w:tplc="04270019" w:tentative="1">
      <w:start w:val="1"/>
      <w:numFmt w:val="lowerLetter"/>
      <w:lvlText w:val="%5."/>
      <w:lvlJc w:val="left"/>
      <w:pPr>
        <w:ind w:left="3867" w:hanging="360"/>
      </w:pPr>
    </w:lvl>
    <w:lvl w:ilvl="5" w:tplc="0427001B" w:tentative="1">
      <w:start w:val="1"/>
      <w:numFmt w:val="lowerRoman"/>
      <w:lvlText w:val="%6."/>
      <w:lvlJc w:val="right"/>
      <w:pPr>
        <w:ind w:left="4587" w:hanging="180"/>
      </w:pPr>
    </w:lvl>
    <w:lvl w:ilvl="6" w:tplc="0427000F" w:tentative="1">
      <w:start w:val="1"/>
      <w:numFmt w:val="decimal"/>
      <w:lvlText w:val="%7."/>
      <w:lvlJc w:val="left"/>
      <w:pPr>
        <w:ind w:left="5307" w:hanging="360"/>
      </w:pPr>
    </w:lvl>
    <w:lvl w:ilvl="7" w:tplc="04270019" w:tentative="1">
      <w:start w:val="1"/>
      <w:numFmt w:val="lowerLetter"/>
      <w:lvlText w:val="%8."/>
      <w:lvlJc w:val="left"/>
      <w:pPr>
        <w:ind w:left="6027" w:hanging="360"/>
      </w:pPr>
    </w:lvl>
    <w:lvl w:ilvl="8" w:tplc="0427001B" w:tentative="1">
      <w:start w:val="1"/>
      <w:numFmt w:val="lowerRoman"/>
      <w:lvlText w:val="%9."/>
      <w:lvlJc w:val="right"/>
      <w:pPr>
        <w:ind w:left="6747" w:hanging="180"/>
      </w:pPr>
    </w:lvl>
  </w:abstractNum>
  <w:abstractNum w:abstractNumId="13">
    <w:nsid w:val="4F5D719C"/>
    <w:multiLevelType w:val="hybridMultilevel"/>
    <w:tmpl w:val="787E0E8A"/>
    <w:lvl w:ilvl="0" w:tplc="01742B38">
      <w:start w:val="1"/>
      <w:numFmt w:val="decimal"/>
      <w:lvlText w:val="%1)"/>
      <w:lvlJc w:val="left"/>
      <w:pPr>
        <w:ind w:left="900" w:hanging="360"/>
      </w:pPr>
      <w:rPr>
        <w:rFonts w:hint="default"/>
      </w:rPr>
    </w:lvl>
    <w:lvl w:ilvl="1" w:tplc="07603B86">
      <w:start w:val="1"/>
      <w:numFmt w:val="decimal"/>
      <w:lvlText w:val="%2)"/>
      <w:lvlJc w:val="left"/>
      <w:pPr>
        <w:ind w:left="1620" w:hanging="360"/>
      </w:pPr>
      <w:rPr>
        <w:rFonts w:ascii="Times New Roman" w:eastAsia="Times New Roman" w:hAnsi="Times New Roman" w:cs="Times New Roman"/>
      </w:r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4">
    <w:nsid w:val="58C53D2B"/>
    <w:multiLevelType w:val="hybridMultilevel"/>
    <w:tmpl w:val="762E616C"/>
    <w:lvl w:ilvl="0" w:tplc="DFBE0746">
      <w:start w:val="1"/>
      <w:numFmt w:val="decimal"/>
      <w:lvlText w:val="%1)"/>
      <w:lvlJc w:val="left"/>
      <w:pPr>
        <w:ind w:left="900" w:hanging="360"/>
      </w:pPr>
      <w:rPr>
        <w:rFonts w:hint="default"/>
      </w:rPr>
    </w:lvl>
    <w:lvl w:ilvl="1" w:tplc="04270019">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abstractNum w:abstractNumId="15">
    <w:nsid w:val="628B4766"/>
    <w:multiLevelType w:val="hybridMultilevel"/>
    <w:tmpl w:val="B2FCE5E4"/>
    <w:lvl w:ilvl="0" w:tplc="E82A287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649732A5"/>
    <w:multiLevelType w:val="hybridMultilevel"/>
    <w:tmpl w:val="2CAACB6A"/>
    <w:lvl w:ilvl="0" w:tplc="01742B38">
      <w:start w:val="1"/>
      <w:numFmt w:val="decimal"/>
      <w:lvlText w:val="%1)"/>
      <w:lvlJc w:val="left"/>
      <w:pPr>
        <w:ind w:left="1854" w:hanging="360"/>
      </w:pPr>
      <w:rPr>
        <w:rFonts w:hint="default"/>
      </w:r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num w:numId="1">
    <w:abstractNumId w:val="2"/>
  </w:num>
  <w:num w:numId="2">
    <w:abstractNumId w:val="11"/>
  </w:num>
  <w:num w:numId="3">
    <w:abstractNumId w:val="5"/>
  </w:num>
  <w:num w:numId="4">
    <w:abstractNumId w:val="15"/>
  </w:num>
  <w:num w:numId="5">
    <w:abstractNumId w:val="10"/>
  </w:num>
  <w:num w:numId="6">
    <w:abstractNumId w:val="3"/>
  </w:num>
  <w:num w:numId="7">
    <w:abstractNumId w:val="0"/>
  </w:num>
  <w:num w:numId="8">
    <w:abstractNumId w:val="13"/>
  </w:num>
  <w:num w:numId="9">
    <w:abstractNumId w:val="14"/>
  </w:num>
  <w:num w:numId="10">
    <w:abstractNumId w:val="12"/>
  </w:num>
  <w:num w:numId="11">
    <w:abstractNumId w:val="8"/>
  </w:num>
  <w:num w:numId="12">
    <w:abstractNumId w:val="7"/>
  </w:num>
  <w:num w:numId="13">
    <w:abstractNumId w:val="9"/>
  </w:num>
  <w:num w:numId="14">
    <w:abstractNumId w:val="4"/>
  </w:num>
  <w:num w:numId="15">
    <w:abstractNumId w:val="1"/>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3EF"/>
    <w:rsid w:val="00006488"/>
    <w:rsid w:val="000107B4"/>
    <w:rsid w:val="00015441"/>
    <w:rsid w:val="000209EC"/>
    <w:rsid w:val="0002303E"/>
    <w:rsid w:val="00025C97"/>
    <w:rsid w:val="00027AD4"/>
    <w:rsid w:val="000345E1"/>
    <w:rsid w:val="00035127"/>
    <w:rsid w:val="00042536"/>
    <w:rsid w:val="00043145"/>
    <w:rsid w:val="000505CA"/>
    <w:rsid w:val="000628D9"/>
    <w:rsid w:val="00062CD1"/>
    <w:rsid w:val="00062E41"/>
    <w:rsid w:val="00064815"/>
    <w:rsid w:val="000718BB"/>
    <w:rsid w:val="00073839"/>
    <w:rsid w:val="00076F2A"/>
    <w:rsid w:val="000807F6"/>
    <w:rsid w:val="00082CD1"/>
    <w:rsid w:val="00086591"/>
    <w:rsid w:val="00087D99"/>
    <w:rsid w:val="00090FB3"/>
    <w:rsid w:val="00091C84"/>
    <w:rsid w:val="000A438A"/>
    <w:rsid w:val="000A55E2"/>
    <w:rsid w:val="000A5B14"/>
    <w:rsid w:val="000A777A"/>
    <w:rsid w:val="000B0C4A"/>
    <w:rsid w:val="000B0E41"/>
    <w:rsid w:val="000B4B4C"/>
    <w:rsid w:val="000B6A82"/>
    <w:rsid w:val="000C0061"/>
    <w:rsid w:val="000C4A0D"/>
    <w:rsid w:val="000F2171"/>
    <w:rsid w:val="000F37E8"/>
    <w:rsid w:val="000F3B74"/>
    <w:rsid w:val="000F3BED"/>
    <w:rsid w:val="001010CB"/>
    <w:rsid w:val="00101C46"/>
    <w:rsid w:val="00102630"/>
    <w:rsid w:val="001062A8"/>
    <w:rsid w:val="001067D7"/>
    <w:rsid w:val="0010760B"/>
    <w:rsid w:val="001148A9"/>
    <w:rsid w:val="00114D53"/>
    <w:rsid w:val="00114F4C"/>
    <w:rsid w:val="00117AD5"/>
    <w:rsid w:val="00122421"/>
    <w:rsid w:val="00122F6C"/>
    <w:rsid w:val="00123559"/>
    <w:rsid w:val="00125D13"/>
    <w:rsid w:val="00127A9F"/>
    <w:rsid w:val="0013002F"/>
    <w:rsid w:val="00132196"/>
    <w:rsid w:val="0013542D"/>
    <w:rsid w:val="001377EF"/>
    <w:rsid w:val="00140AB4"/>
    <w:rsid w:val="00142CC2"/>
    <w:rsid w:val="00144652"/>
    <w:rsid w:val="00146856"/>
    <w:rsid w:val="001479CC"/>
    <w:rsid w:val="00173A86"/>
    <w:rsid w:val="00174E5D"/>
    <w:rsid w:val="00182576"/>
    <w:rsid w:val="00182F18"/>
    <w:rsid w:val="00182FCB"/>
    <w:rsid w:val="00190BF3"/>
    <w:rsid w:val="001917BC"/>
    <w:rsid w:val="00193DB4"/>
    <w:rsid w:val="001A0D6F"/>
    <w:rsid w:val="001A7298"/>
    <w:rsid w:val="001B0D32"/>
    <w:rsid w:val="001B34A6"/>
    <w:rsid w:val="001B6BC4"/>
    <w:rsid w:val="001C2D5B"/>
    <w:rsid w:val="001D3831"/>
    <w:rsid w:val="001D58F8"/>
    <w:rsid w:val="001D61FD"/>
    <w:rsid w:val="001E0816"/>
    <w:rsid w:val="001E2A03"/>
    <w:rsid w:val="001E2FB6"/>
    <w:rsid w:val="001E628C"/>
    <w:rsid w:val="001E7944"/>
    <w:rsid w:val="001E7B59"/>
    <w:rsid w:val="001E7D8F"/>
    <w:rsid w:val="001F21CC"/>
    <w:rsid w:val="001F5BF8"/>
    <w:rsid w:val="00201BB6"/>
    <w:rsid w:val="00202C26"/>
    <w:rsid w:val="00203B52"/>
    <w:rsid w:val="00207B3A"/>
    <w:rsid w:val="00211A6C"/>
    <w:rsid w:val="00215DF6"/>
    <w:rsid w:val="0022462B"/>
    <w:rsid w:val="00226F04"/>
    <w:rsid w:val="0023005A"/>
    <w:rsid w:val="002316BB"/>
    <w:rsid w:val="00231E84"/>
    <w:rsid w:val="00233314"/>
    <w:rsid w:val="00233FF6"/>
    <w:rsid w:val="002365C8"/>
    <w:rsid w:val="00242B1D"/>
    <w:rsid w:val="002533BA"/>
    <w:rsid w:val="002572CF"/>
    <w:rsid w:val="00257953"/>
    <w:rsid w:val="002603D6"/>
    <w:rsid w:val="0026139A"/>
    <w:rsid w:val="00263FBF"/>
    <w:rsid w:val="00270EF9"/>
    <w:rsid w:val="00280BEC"/>
    <w:rsid w:val="00280F38"/>
    <w:rsid w:val="00284FAE"/>
    <w:rsid w:val="00286BF5"/>
    <w:rsid w:val="00290B72"/>
    <w:rsid w:val="00291400"/>
    <w:rsid w:val="002928B8"/>
    <w:rsid w:val="0029512D"/>
    <w:rsid w:val="00295C3F"/>
    <w:rsid w:val="002A155A"/>
    <w:rsid w:val="002A23D5"/>
    <w:rsid w:val="002A476F"/>
    <w:rsid w:val="002A5177"/>
    <w:rsid w:val="002A621C"/>
    <w:rsid w:val="002B544E"/>
    <w:rsid w:val="002B6C71"/>
    <w:rsid w:val="002C1E07"/>
    <w:rsid w:val="002C2C31"/>
    <w:rsid w:val="002C497B"/>
    <w:rsid w:val="002E3717"/>
    <w:rsid w:val="002E3E18"/>
    <w:rsid w:val="002E474B"/>
    <w:rsid w:val="002E5A95"/>
    <w:rsid w:val="002E5D36"/>
    <w:rsid w:val="002F188D"/>
    <w:rsid w:val="002F779A"/>
    <w:rsid w:val="0030106B"/>
    <w:rsid w:val="003014F3"/>
    <w:rsid w:val="003021AA"/>
    <w:rsid w:val="00302BE8"/>
    <w:rsid w:val="0030304F"/>
    <w:rsid w:val="0030679F"/>
    <w:rsid w:val="00310E2F"/>
    <w:rsid w:val="003118EE"/>
    <w:rsid w:val="0031245F"/>
    <w:rsid w:val="00322E49"/>
    <w:rsid w:val="0032555F"/>
    <w:rsid w:val="00326293"/>
    <w:rsid w:val="00333F5B"/>
    <w:rsid w:val="0033743E"/>
    <w:rsid w:val="00337A98"/>
    <w:rsid w:val="00340A0F"/>
    <w:rsid w:val="00342442"/>
    <w:rsid w:val="00346E07"/>
    <w:rsid w:val="003546D6"/>
    <w:rsid w:val="00355855"/>
    <w:rsid w:val="003617AF"/>
    <w:rsid w:val="00364A31"/>
    <w:rsid w:val="00364C2D"/>
    <w:rsid w:val="00367D0F"/>
    <w:rsid w:val="00371915"/>
    <w:rsid w:val="0037728B"/>
    <w:rsid w:val="00377EBE"/>
    <w:rsid w:val="00380957"/>
    <w:rsid w:val="00396FC5"/>
    <w:rsid w:val="003A005A"/>
    <w:rsid w:val="003A0B09"/>
    <w:rsid w:val="003A2568"/>
    <w:rsid w:val="003A659F"/>
    <w:rsid w:val="003A69D7"/>
    <w:rsid w:val="003B0517"/>
    <w:rsid w:val="003B3E8F"/>
    <w:rsid w:val="003B4048"/>
    <w:rsid w:val="003B5F6E"/>
    <w:rsid w:val="003C3DB1"/>
    <w:rsid w:val="003C757F"/>
    <w:rsid w:val="003C7899"/>
    <w:rsid w:val="003D5CD0"/>
    <w:rsid w:val="003E4492"/>
    <w:rsid w:val="003F4835"/>
    <w:rsid w:val="003F535F"/>
    <w:rsid w:val="00400687"/>
    <w:rsid w:val="0040588B"/>
    <w:rsid w:val="00411D0C"/>
    <w:rsid w:val="00414C2B"/>
    <w:rsid w:val="00421E93"/>
    <w:rsid w:val="004265D1"/>
    <w:rsid w:val="00426C29"/>
    <w:rsid w:val="00427CDB"/>
    <w:rsid w:val="00430B19"/>
    <w:rsid w:val="00432E5D"/>
    <w:rsid w:val="0044018F"/>
    <w:rsid w:val="0044200E"/>
    <w:rsid w:val="004420D3"/>
    <w:rsid w:val="00452A0D"/>
    <w:rsid w:val="00454E66"/>
    <w:rsid w:val="0045770B"/>
    <w:rsid w:val="004625BE"/>
    <w:rsid w:val="00471479"/>
    <w:rsid w:val="0047625A"/>
    <w:rsid w:val="00477A67"/>
    <w:rsid w:val="00481D80"/>
    <w:rsid w:val="00484A6E"/>
    <w:rsid w:val="00486CAE"/>
    <w:rsid w:val="004901A9"/>
    <w:rsid w:val="004903B9"/>
    <w:rsid w:val="00490D50"/>
    <w:rsid w:val="00497BB2"/>
    <w:rsid w:val="004A36B4"/>
    <w:rsid w:val="004A5123"/>
    <w:rsid w:val="004A5482"/>
    <w:rsid w:val="004A697A"/>
    <w:rsid w:val="004A7A23"/>
    <w:rsid w:val="004B0CFC"/>
    <w:rsid w:val="004C1041"/>
    <w:rsid w:val="004C295A"/>
    <w:rsid w:val="004C4E58"/>
    <w:rsid w:val="004C52E6"/>
    <w:rsid w:val="004C5FA9"/>
    <w:rsid w:val="004D701E"/>
    <w:rsid w:val="004D7A13"/>
    <w:rsid w:val="004E19BB"/>
    <w:rsid w:val="004E3F1F"/>
    <w:rsid w:val="004E4BCC"/>
    <w:rsid w:val="004E6D93"/>
    <w:rsid w:val="004F5F28"/>
    <w:rsid w:val="004F6052"/>
    <w:rsid w:val="004F6750"/>
    <w:rsid w:val="004F7108"/>
    <w:rsid w:val="00500739"/>
    <w:rsid w:val="005031AA"/>
    <w:rsid w:val="00504598"/>
    <w:rsid w:val="00505D9A"/>
    <w:rsid w:val="00506D7B"/>
    <w:rsid w:val="00511EDD"/>
    <w:rsid w:val="00513E30"/>
    <w:rsid w:val="00517255"/>
    <w:rsid w:val="00525437"/>
    <w:rsid w:val="00531941"/>
    <w:rsid w:val="0053683D"/>
    <w:rsid w:val="00540225"/>
    <w:rsid w:val="00540A91"/>
    <w:rsid w:val="005410FE"/>
    <w:rsid w:val="0054584E"/>
    <w:rsid w:val="00550495"/>
    <w:rsid w:val="00552816"/>
    <w:rsid w:val="00553728"/>
    <w:rsid w:val="00554D4C"/>
    <w:rsid w:val="00555BAE"/>
    <w:rsid w:val="005656EB"/>
    <w:rsid w:val="0057028A"/>
    <w:rsid w:val="005725E5"/>
    <w:rsid w:val="00575BE2"/>
    <w:rsid w:val="00583A4F"/>
    <w:rsid w:val="00586B06"/>
    <w:rsid w:val="00586DE0"/>
    <w:rsid w:val="00586EDF"/>
    <w:rsid w:val="005915F8"/>
    <w:rsid w:val="00592ADA"/>
    <w:rsid w:val="00592C40"/>
    <w:rsid w:val="0059419B"/>
    <w:rsid w:val="0059479A"/>
    <w:rsid w:val="005A08EF"/>
    <w:rsid w:val="005B0C29"/>
    <w:rsid w:val="005B67AD"/>
    <w:rsid w:val="005C4119"/>
    <w:rsid w:val="005C6779"/>
    <w:rsid w:val="005D3CAF"/>
    <w:rsid w:val="005D3F4D"/>
    <w:rsid w:val="005D5113"/>
    <w:rsid w:val="005D562F"/>
    <w:rsid w:val="005E33F1"/>
    <w:rsid w:val="005E46F2"/>
    <w:rsid w:val="005F1408"/>
    <w:rsid w:val="005F4E16"/>
    <w:rsid w:val="005F59CD"/>
    <w:rsid w:val="005F6F09"/>
    <w:rsid w:val="00600F22"/>
    <w:rsid w:val="0060138E"/>
    <w:rsid w:val="0060338E"/>
    <w:rsid w:val="00605962"/>
    <w:rsid w:val="00616CD7"/>
    <w:rsid w:val="006176AE"/>
    <w:rsid w:val="006204E9"/>
    <w:rsid w:val="00620A3A"/>
    <w:rsid w:val="0062255E"/>
    <w:rsid w:val="006229AA"/>
    <w:rsid w:val="00623DFA"/>
    <w:rsid w:val="006275EC"/>
    <w:rsid w:val="00631074"/>
    <w:rsid w:val="0063520E"/>
    <w:rsid w:val="00640ED5"/>
    <w:rsid w:val="00642CEF"/>
    <w:rsid w:val="00652C76"/>
    <w:rsid w:val="00655976"/>
    <w:rsid w:val="006566A1"/>
    <w:rsid w:val="006569C9"/>
    <w:rsid w:val="0066159D"/>
    <w:rsid w:val="0066446E"/>
    <w:rsid w:val="00666D25"/>
    <w:rsid w:val="0066733F"/>
    <w:rsid w:val="00670CB9"/>
    <w:rsid w:val="00671D5A"/>
    <w:rsid w:val="00676191"/>
    <w:rsid w:val="00681FFA"/>
    <w:rsid w:val="00693982"/>
    <w:rsid w:val="006A080C"/>
    <w:rsid w:val="006A2260"/>
    <w:rsid w:val="006A5FE6"/>
    <w:rsid w:val="006B583E"/>
    <w:rsid w:val="006B7B10"/>
    <w:rsid w:val="006C1FDC"/>
    <w:rsid w:val="006C315F"/>
    <w:rsid w:val="006C544F"/>
    <w:rsid w:val="006D1B64"/>
    <w:rsid w:val="006D3697"/>
    <w:rsid w:val="006D6084"/>
    <w:rsid w:val="006D6AB8"/>
    <w:rsid w:val="006E03F6"/>
    <w:rsid w:val="006E1CA2"/>
    <w:rsid w:val="006E3CA1"/>
    <w:rsid w:val="006E6C14"/>
    <w:rsid w:val="006F166A"/>
    <w:rsid w:val="006F1DE0"/>
    <w:rsid w:val="00700D70"/>
    <w:rsid w:val="007101AB"/>
    <w:rsid w:val="0071394E"/>
    <w:rsid w:val="007157B2"/>
    <w:rsid w:val="0071759C"/>
    <w:rsid w:val="00722E97"/>
    <w:rsid w:val="007329CB"/>
    <w:rsid w:val="00737674"/>
    <w:rsid w:val="00740127"/>
    <w:rsid w:val="007431FF"/>
    <w:rsid w:val="00747289"/>
    <w:rsid w:val="00747F85"/>
    <w:rsid w:val="00752399"/>
    <w:rsid w:val="007558CE"/>
    <w:rsid w:val="00755E09"/>
    <w:rsid w:val="00761C81"/>
    <w:rsid w:val="00771246"/>
    <w:rsid w:val="00773ED9"/>
    <w:rsid w:val="007808BE"/>
    <w:rsid w:val="00780D97"/>
    <w:rsid w:val="00782BFE"/>
    <w:rsid w:val="007858B9"/>
    <w:rsid w:val="00791191"/>
    <w:rsid w:val="0079319F"/>
    <w:rsid w:val="00794154"/>
    <w:rsid w:val="007A2073"/>
    <w:rsid w:val="007A2FD5"/>
    <w:rsid w:val="007A7128"/>
    <w:rsid w:val="007A7652"/>
    <w:rsid w:val="007A7748"/>
    <w:rsid w:val="007B0BA4"/>
    <w:rsid w:val="007B1558"/>
    <w:rsid w:val="007B265A"/>
    <w:rsid w:val="007B6C30"/>
    <w:rsid w:val="007B79B0"/>
    <w:rsid w:val="007B7B1B"/>
    <w:rsid w:val="007C01DD"/>
    <w:rsid w:val="007D5E6E"/>
    <w:rsid w:val="007D7B80"/>
    <w:rsid w:val="007E2CD7"/>
    <w:rsid w:val="007E2DF5"/>
    <w:rsid w:val="007E4AAE"/>
    <w:rsid w:val="007F124A"/>
    <w:rsid w:val="007F4D9D"/>
    <w:rsid w:val="0080112C"/>
    <w:rsid w:val="00805FD0"/>
    <w:rsid w:val="00810B4A"/>
    <w:rsid w:val="00811774"/>
    <w:rsid w:val="00811B13"/>
    <w:rsid w:val="00814AA8"/>
    <w:rsid w:val="0081636E"/>
    <w:rsid w:val="00817FE7"/>
    <w:rsid w:val="00820832"/>
    <w:rsid w:val="0082368B"/>
    <w:rsid w:val="0082530D"/>
    <w:rsid w:val="008311F9"/>
    <w:rsid w:val="00832C9A"/>
    <w:rsid w:val="00834C97"/>
    <w:rsid w:val="0084138C"/>
    <w:rsid w:val="0084352A"/>
    <w:rsid w:val="008453A4"/>
    <w:rsid w:val="008469ED"/>
    <w:rsid w:val="00850118"/>
    <w:rsid w:val="0085154A"/>
    <w:rsid w:val="0085442F"/>
    <w:rsid w:val="00854A59"/>
    <w:rsid w:val="00857462"/>
    <w:rsid w:val="00866B89"/>
    <w:rsid w:val="00867326"/>
    <w:rsid w:val="008709F3"/>
    <w:rsid w:val="00871A62"/>
    <w:rsid w:val="00871CFF"/>
    <w:rsid w:val="0087694B"/>
    <w:rsid w:val="0088061B"/>
    <w:rsid w:val="008811CD"/>
    <w:rsid w:val="00886FEB"/>
    <w:rsid w:val="00891DB0"/>
    <w:rsid w:val="00892BEF"/>
    <w:rsid w:val="008933EB"/>
    <w:rsid w:val="008949C9"/>
    <w:rsid w:val="008954C2"/>
    <w:rsid w:val="00895BE9"/>
    <w:rsid w:val="00895F06"/>
    <w:rsid w:val="008A0D44"/>
    <w:rsid w:val="008A0ED3"/>
    <w:rsid w:val="008A3505"/>
    <w:rsid w:val="008A72EA"/>
    <w:rsid w:val="008A7473"/>
    <w:rsid w:val="008A7A45"/>
    <w:rsid w:val="008B1E4B"/>
    <w:rsid w:val="008B2571"/>
    <w:rsid w:val="008B2889"/>
    <w:rsid w:val="008B79C3"/>
    <w:rsid w:val="008C0F42"/>
    <w:rsid w:val="008C1B22"/>
    <w:rsid w:val="008C6B2A"/>
    <w:rsid w:val="008D537F"/>
    <w:rsid w:val="008E00AD"/>
    <w:rsid w:val="008E0FC0"/>
    <w:rsid w:val="008E3688"/>
    <w:rsid w:val="008F14CF"/>
    <w:rsid w:val="008F469C"/>
    <w:rsid w:val="008F5018"/>
    <w:rsid w:val="008F7CB1"/>
    <w:rsid w:val="0090721B"/>
    <w:rsid w:val="00911D96"/>
    <w:rsid w:val="009122DC"/>
    <w:rsid w:val="00912437"/>
    <w:rsid w:val="00913114"/>
    <w:rsid w:val="00913C8C"/>
    <w:rsid w:val="0091606F"/>
    <w:rsid w:val="00916B82"/>
    <w:rsid w:val="009177F5"/>
    <w:rsid w:val="00917C44"/>
    <w:rsid w:val="00924C27"/>
    <w:rsid w:val="00925B95"/>
    <w:rsid w:val="0092659E"/>
    <w:rsid w:val="00927ED8"/>
    <w:rsid w:val="00930424"/>
    <w:rsid w:val="00933B31"/>
    <w:rsid w:val="00941019"/>
    <w:rsid w:val="009419AB"/>
    <w:rsid w:val="00941C8D"/>
    <w:rsid w:val="00944CFE"/>
    <w:rsid w:val="009461DD"/>
    <w:rsid w:val="009461F6"/>
    <w:rsid w:val="00956D5E"/>
    <w:rsid w:val="00960CB4"/>
    <w:rsid w:val="00961771"/>
    <w:rsid w:val="00962851"/>
    <w:rsid w:val="0096324F"/>
    <w:rsid w:val="00964B64"/>
    <w:rsid w:val="0097635B"/>
    <w:rsid w:val="0097765B"/>
    <w:rsid w:val="0098061C"/>
    <w:rsid w:val="00983B87"/>
    <w:rsid w:val="00987418"/>
    <w:rsid w:val="0099197F"/>
    <w:rsid w:val="009B0118"/>
    <w:rsid w:val="009B4D65"/>
    <w:rsid w:val="009B4E7E"/>
    <w:rsid w:val="009C28EA"/>
    <w:rsid w:val="009C460B"/>
    <w:rsid w:val="009C60C2"/>
    <w:rsid w:val="009C763F"/>
    <w:rsid w:val="009E1682"/>
    <w:rsid w:val="009E3CD2"/>
    <w:rsid w:val="009E6A50"/>
    <w:rsid w:val="009F0413"/>
    <w:rsid w:val="009F0CCD"/>
    <w:rsid w:val="009F7F7D"/>
    <w:rsid w:val="00A00D22"/>
    <w:rsid w:val="00A02E94"/>
    <w:rsid w:val="00A04E22"/>
    <w:rsid w:val="00A062C9"/>
    <w:rsid w:val="00A0648E"/>
    <w:rsid w:val="00A10349"/>
    <w:rsid w:val="00A16BFA"/>
    <w:rsid w:val="00A22D8A"/>
    <w:rsid w:val="00A32793"/>
    <w:rsid w:val="00A36C09"/>
    <w:rsid w:val="00A40D49"/>
    <w:rsid w:val="00A51D1D"/>
    <w:rsid w:val="00A56E38"/>
    <w:rsid w:val="00A57627"/>
    <w:rsid w:val="00A57F74"/>
    <w:rsid w:val="00A60607"/>
    <w:rsid w:val="00A67168"/>
    <w:rsid w:val="00A67EC5"/>
    <w:rsid w:val="00A721AA"/>
    <w:rsid w:val="00A755DB"/>
    <w:rsid w:val="00A75986"/>
    <w:rsid w:val="00A814D1"/>
    <w:rsid w:val="00A842AE"/>
    <w:rsid w:val="00A84E58"/>
    <w:rsid w:val="00A92C43"/>
    <w:rsid w:val="00A93381"/>
    <w:rsid w:val="00A94194"/>
    <w:rsid w:val="00A94522"/>
    <w:rsid w:val="00AA6100"/>
    <w:rsid w:val="00AA66A8"/>
    <w:rsid w:val="00AB5137"/>
    <w:rsid w:val="00AB78E5"/>
    <w:rsid w:val="00AC118F"/>
    <w:rsid w:val="00AC24E5"/>
    <w:rsid w:val="00AC3210"/>
    <w:rsid w:val="00AC46E3"/>
    <w:rsid w:val="00AC490B"/>
    <w:rsid w:val="00AD2092"/>
    <w:rsid w:val="00AD2601"/>
    <w:rsid w:val="00AD6BFF"/>
    <w:rsid w:val="00AE13F2"/>
    <w:rsid w:val="00AE33D9"/>
    <w:rsid w:val="00AE6581"/>
    <w:rsid w:val="00B035B5"/>
    <w:rsid w:val="00B04581"/>
    <w:rsid w:val="00B05373"/>
    <w:rsid w:val="00B06BD9"/>
    <w:rsid w:val="00B07381"/>
    <w:rsid w:val="00B13DE0"/>
    <w:rsid w:val="00B17EE7"/>
    <w:rsid w:val="00B22240"/>
    <w:rsid w:val="00B259FA"/>
    <w:rsid w:val="00B33D24"/>
    <w:rsid w:val="00B346B5"/>
    <w:rsid w:val="00B40969"/>
    <w:rsid w:val="00B40CAF"/>
    <w:rsid w:val="00B41104"/>
    <w:rsid w:val="00B47006"/>
    <w:rsid w:val="00B51AB7"/>
    <w:rsid w:val="00B57CFC"/>
    <w:rsid w:val="00B71439"/>
    <w:rsid w:val="00B731BD"/>
    <w:rsid w:val="00B755DF"/>
    <w:rsid w:val="00B76180"/>
    <w:rsid w:val="00B763F4"/>
    <w:rsid w:val="00B76698"/>
    <w:rsid w:val="00B80344"/>
    <w:rsid w:val="00B84655"/>
    <w:rsid w:val="00B90AC8"/>
    <w:rsid w:val="00B91F2B"/>
    <w:rsid w:val="00B942E3"/>
    <w:rsid w:val="00B9605B"/>
    <w:rsid w:val="00B960AD"/>
    <w:rsid w:val="00BA0C4B"/>
    <w:rsid w:val="00BA4D12"/>
    <w:rsid w:val="00BB08D9"/>
    <w:rsid w:val="00BB0ED5"/>
    <w:rsid w:val="00BB236E"/>
    <w:rsid w:val="00BB34D9"/>
    <w:rsid w:val="00BB43CB"/>
    <w:rsid w:val="00BD1DF4"/>
    <w:rsid w:val="00BD72A4"/>
    <w:rsid w:val="00BE08EB"/>
    <w:rsid w:val="00BE1E38"/>
    <w:rsid w:val="00BE23EF"/>
    <w:rsid w:val="00BE2F77"/>
    <w:rsid w:val="00BE3576"/>
    <w:rsid w:val="00BE4A1E"/>
    <w:rsid w:val="00BE7C70"/>
    <w:rsid w:val="00BF134D"/>
    <w:rsid w:val="00BF24E7"/>
    <w:rsid w:val="00BF550D"/>
    <w:rsid w:val="00BF5A5D"/>
    <w:rsid w:val="00BF7009"/>
    <w:rsid w:val="00BF71B8"/>
    <w:rsid w:val="00C0064D"/>
    <w:rsid w:val="00C01BB3"/>
    <w:rsid w:val="00C01C9F"/>
    <w:rsid w:val="00C0500E"/>
    <w:rsid w:val="00C0526E"/>
    <w:rsid w:val="00C10436"/>
    <w:rsid w:val="00C215F2"/>
    <w:rsid w:val="00C21B01"/>
    <w:rsid w:val="00C22854"/>
    <w:rsid w:val="00C241CB"/>
    <w:rsid w:val="00C246E7"/>
    <w:rsid w:val="00C35D35"/>
    <w:rsid w:val="00C41C93"/>
    <w:rsid w:val="00C51F7A"/>
    <w:rsid w:val="00C60F8F"/>
    <w:rsid w:val="00C62519"/>
    <w:rsid w:val="00C629C1"/>
    <w:rsid w:val="00C651B4"/>
    <w:rsid w:val="00C65E49"/>
    <w:rsid w:val="00C70A7F"/>
    <w:rsid w:val="00C70BA5"/>
    <w:rsid w:val="00C7122E"/>
    <w:rsid w:val="00C7325C"/>
    <w:rsid w:val="00C833AD"/>
    <w:rsid w:val="00C8630C"/>
    <w:rsid w:val="00C9256A"/>
    <w:rsid w:val="00C9442B"/>
    <w:rsid w:val="00C96A5C"/>
    <w:rsid w:val="00CA4F33"/>
    <w:rsid w:val="00CB2993"/>
    <w:rsid w:val="00CB2B1C"/>
    <w:rsid w:val="00CB39C3"/>
    <w:rsid w:val="00CB7EEA"/>
    <w:rsid w:val="00CC5112"/>
    <w:rsid w:val="00CC5F47"/>
    <w:rsid w:val="00CD164D"/>
    <w:rsid w:val="00CD6779"/>
    <w:rsid w:val="00CD790E"/>
    <w:rsid w:val="00CE08F8"/>
    <w:rsid w:val="00CE1613"/>
    <w:rsid w:val="00CE2D81"/>
    <w:rsid w:val="00CE5801"/>
    <w:rsid w:val="00CE6F5C"/>
    <w:rsid w:val="00CF40DA"/>
    <w:rsid w:val="00CF53A0"/>
    <w:rsid w:val="00CF55ED"/>
    <w:rsid w:val="00CF5AA9"/>
    <w:rsid w:val="00CF5E24"/>
    <w:rsid w:val="00D01549"/>
    <w:rsid w:val="00D030EF"/>
    <w:rsid w:val="00D036A7"/>
    <w:rsid w:val="00D058AC"/>
    <w:rsid w:val="00D06FBD"/>
    <w:rsid w:val="00D07A2C"/>
    <w:rsid w:val="00D10FEF"/>
    <w:rsid w:val="00D1139B"/>
    <w:rsid w:val="00D145AB"/>
    <w:rsid w:val="00D22F5F"/>
    <w:rsid w:val="00D24BF7"/>
    <w:rsid w:val="00D259AA"/>
    <w:rsid w:val="00D25D82"/>
    <w:rsid w:val="00D31D1E"/>
    <w:rsid w:val="00D37919"/>
    <w:rsid w:val="00D419C2"/>
    <w:rsid w:val="00D43D28"/>
    <w:rsid w:val="00D45D93"/>
    <w:rsid w:val="00D55B3D"/>
    <w:rsid w:val="00D603CF"/>
    <w:rsid w:val="00D635DC"/>
    <w:rsid w:val="00D65EDB"/>
    <w:rsid w:val="00D70ED9"/>
    <w:rsid w:val="00D72AA5"/>
    <w:rsid w:val="00D7609A"/>
    <w:rsid w:val="00D7721C"/>
    <w:rsid w:val="00D81110"/>
    <w:rsid w:val="00D853FE"/>
    <w:rsid w:val="00D918FF"/>
    <w:rsid w:val="00D9230A"/>
    <w:rsid w:val="00DA71A1"/>
    <w:rsid w:val="00DB65EF"/>
    <w:rsid w:val="00DC11F8"/>
    <w:rsid w:val="00DC153E"/>
    <w:rsid w:val="00DD5290"/>
    <w:rsid w:val="00DD65A9"/>
    <w:rsid w:val="00DE67DF"/>
    <w:rsid w:val="00DE7BA9"/>
    <w:rsid w:val="00DF3AA5"/>
    <w:rsid w:val="00DF5B0E"/>
    <w:rsid w:val="00E02FAB"/>
    <w:rsid w:val="00E052F7"/>
    <w:rsid w:val="00E06585"/>
    <w:rsid w:val="00E10664"/>
    <w:rsid w:val="00E122BD"/>
    <w:rsid w:val="00E12882"/>
    <w:rsid w:val="00E13304"/>
    <w:rsid w:val="00E1374D"/>
    <w:rsid w:val="00E23FEF"/>
    <w:rsid w:val="00E31FE1"/>
    <w:rsid w:val="00E32A06"/>
    <w:rsid w:val="00E3465B"/>
    <w:rsid w:val="00E36218"/>
    <w:rsid w:val="00E3695F"/>
    <w:rsid w:val="00E4055C"/>
    <w:rsid w:val="00E422A7"/>
    <w:rsid w:val="00E42534"/>
    <w:rsid w:val="00E438AF"/>
    <w:rsid w:val="00E44D9B"/>
    <w:rsid w:val="00E44EE2"/>
    <w:rsid w:val="00E4776A"/>
    <w:rsid w:val="00E50444"/>
    <w:rsid w:val="00E549D3"/>
    <w:rsid w:val="00E5560F"/>
    <w:rsid w:val="00E55E34"/>
    <w:rsid w:val="00E56790"/>
    <w:rsid w:val="00E5791B"/>
    <w:rsid w:val="00E633C5"/>
    <w:rsid w:val="00E6474A"/>
    <w:rsid w:val="00E65D81"/>
    <w:rsid w:val="00E7664F"/>
    <w:rsid w:val="00E7746E"/>
    <w:rsid w:val="00E80DF5"/>
    <w:rsid w:val="00E83FCA"/>
    <w:rsid w:val="00E84E73"/>
    <w:rsid w:val="00E861A9"/>
    <w:rsid w:val="00E91558"/>
    <w:rsid w:val="00E96B3C"/>
    <w:rsid w:val="00EA1C1F"/>
    <w:rsid w:val="00EA33CC"/>
    <w:rsid w:val="00EA77D3"/>
    <w:rsid w:val="00EB10F3"/>
    <w:rsid w:val="00EB3B82"/>
    <w:rsid w:val="00EB4E97"/>
    <w:rsid w:val="00ED0ECC"/>
    <w:rsid w:val="00ED3C52"/>
    <w:rsid w:val="00ED5339"/>
    <w:rsid w:val="00EE19DB"/>
    <w:rsid w:val="00EE3B47"/>
    <w:rsid w:val="00EE3D38"/>
    <w:rsid w:val="00EE5BF3"/>
    <w:rsid w:val="00EE6EAC"/>
    <w:rsid w:val="00EF0227"/>
    <w:rsid w:val="00EF3FC8"/>
    <w:rsid w:val="00EF466A"/>
    <w:rsid w:val="00F0106B"/>
    <w:rsid w:val="00F10900"/>
    <w:rsid w:val="00F13072"/>
    <w:rsid w:val="00F13BC3"/>
    <w:rsid w:val="00F148D2"/>
    <w:rsid w:val="00F1768F"/>
    <w:rsid w:val="00F201E9"/>
    <w:rsid w:val="00F31E9A"/>
    <w:rsid w:val="00F32481"/>
    <w:rsid w:val="00F33031"/>
    <w:rsid w:val="00F417F6"/>
    <w:rsid w:val="00F45C68"/>
    <w:rsid w:val="00F54C29"/>
    <w:rsid w:val="00F600DA"/>
    <w:rsid w:val="00F60D2A"/>
    <w:rsid w:val="00F62679"/>
    <w:rsid w:val="00F63D17"/>
    <w:rsid w:val="00F66795"/>
    <w:rsid w:val="00F7566F"/>
    <w:rsid w:val="00F756EF"/>
    <w:rsid w:val="00F807FA"/>
    <w:rsid w:val="00F82FAD"/>
    <w:rsid w:val="00F856D8"/>
    <w:rsid w:val="00F87064"/>
    <w:rsid w:val="00F91364"/>
    <w:rsid w:val="00F932A3"/>
    <w:rsid w:val="00FA0902"/>
    <w:rsid w:val="00FA7E36"/>
    <w:rsid w:val="00FB317D"/>
    <w:rsid w:val="00FB3F16"/>
    <w:rsid w:val="00FB47D5"/>
    <w:rsid w:val="00FD1F40"/>
    <w:rsid w:val="00FD3377"/>
    <w:rsid w:val="00FD6A21"/>
    <w:rsid w:val="00FE05C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sz w:val="24"/>
      <w:szCs w:val="24"/>
      <w:lang w:eastAsia="ar-SA"/>
    </w:rPr>
  </w:style>
  <w:style w:type="paragraph" w:styleId="Antrat1">
    <w:name w:val="heading 1"/>
    <w:basedOn w:val="prastasis"/>
    <w:next w:val="prastasis"/>
    <w:link w:val="Antrat1Diagrama"/>
    <w:qFormat/>
    <w:rsid w:val="00E5791B"/>
    <w:pPr>
      <w:keepNext/>
      <w:spacing w:before="240" w:after="60"/>
      <w:outlineLvl w:val="0"/>
    </w:pPr>
    <w:rPr>
      <w:rFonts w:ascii="Cambria" w:hAnsi="Cambria"/>
      <w:b/>
      <w:bCs/>
      <w:kern w:val="1"/>
      <w:sz w:val="32"/>
      <w:szCs w:val="32"/>
      <w:lang w:val="x-none"/>
    </w:rPr>
  </w:style>
  <w:style w:type="character" w:default="1" w:styleId="Numatytasispastraiposriftas">
    <w:name w:val="Default Paragraph Font"/>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efaultParagraphFont">
    <w:name w:val="Default Paragraph Font"/>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Default">
    <w:name w:val="Default"/>
    <w:pPr>
      <w:suppressAutoHyphens/>
      <w:autoSpaceDE w:val="0"/>
    </w:pPr>
    <w:rPr>
      <w:rFonts w:eastAsia="Arial"/>
      <w:color w:val="000000"/>
      <w:sz w:val="24"/>
      <w:szCs w:val="24"/>
      <w:lang w:eastAsia="ar-SA"/>
    </w:rPr>
  </w:style>
  <w:style w:type="character" w:styleId="Hipersaitas">
    <w:name w:val="Hyperlink"/>
    <w:rsid w:val="00E052F7"/>
    <w:rPr>
      <w:color w:val="000080"/>
      <w:u w:val="single"/>
      <w:lang/>
    </w:rPr>
  </w:style>
  <w:style w:type="paragraph" w:styleId="Antrats">
    <w:name w:val="header"/>
    <w:basedOn w:val="prastasis"/>
    <w:rsid w:val="0032555F"/>
    <w:pPr>
      <w:tabs>
        <w:tab w:val="center" w:pos="4819"/>
        <w:tab w:val="right" w:pos="9638"/>
      </w:tabs>
    </w:pPr>
  </w:style>
  <w:style w:type="character" w:styleId="Puslapionumeris">
    <w:name w:val="page number"/>
    <w:basedOn w:val="Numatytasispastraiposriftas"/>
    <w:rsid w:val="0032555F"/>
  </w:style>
  <w:style w:type="paragraph" w:styleId="Debesliotekstas">
    <w:name w:val="Balloon Text"/>
    <w:basedOn w:val="prastasis"/>
    <w:link w:val="DebesliotekstasDiagrama"/>
    <w:rsid w:val="0082530D"/>
    <w:rPr>
      <w:rFonts w:ascii="Tahoma" w:hAnsi="Tahoma" w:cs="Tahoma"/>
      <w:sz w:val="16"/>
      <w:szCs w:val="16"/>
    </w:rPr>
  </w:style>
  <w:style w:type="character" w:customStyle="1" w:styleId="DebesliotekstasDiagrama">
    <w:name w:val="Debesėlio tekstas Diagrama"/>
    <w:link w:val="Debesliotekstas"/>
    <w:rsid w:val="0082530D"/>
    <w:rPr>
      <w:rFonts w:ascii="Tahoma" w:hAnsi="Tahoma" w:cs="Tahoma"/>
      <w:sz w:val="16"/>
      <w:szCs w:val="16"/>
      <w:lang w:eastAsia="ar-SA"/>
    </w:rPr>
  </w:style>
  <w:style w:type="paragraph" w:styleId="Porat">
    <w:name w:val="footer"/>
    <w:basedOn w:val="prastasis"/>
    <w:link w:val="PoratDiagrama"/>
    <w:rsid w:val="00666D25"/>
    <w:pPr>
      <w:tabs>
        <w:tab w:val="center" w:pos="4819"/>
        <w:tab w:val="right" w:pos="9638"/>
      </w:tabs>
    </w:pPr>
  </w:style>
  <w:style w:type="character" w:customStyle="1" w:styleId="PoratDiagrama">
    <w:name w:val="Poraštė Diagrama"/>
    <w:link w:val="Porat"/>
    <w:rsid w:val="00666D25"/>
    <w:rPr>
      <w:sz w:val="24"/>
      <w:szCs w:val="24"/>
      <w:lang w:eastAsia="ar-SA"/>
    </w:rPr>
  </w:style>
  <w:style w:type="paragraph" w:styleId="Antrinispavadinimas">
    <w:name w:val="Subtitle"/>
    <w:basedOn w:val="prastasis"/>
    <w:next w:val="prastasis"/>
    <w:link w:val="AntrinispavadinimasDiagrama"/>
    <w:qFormat/>
    <w:rsid w:val="005410FE"/>
    <w:pPr>
      <w:spacing w:after="60"/>
      <w:jc w:val="center"/>
      <w:outlineLvl w:val="1"/>
    </w:pPr>
    <w:rPr>
      <w:rFonts w:ascii="Cambria" w:hAnsi="Cambria"/>
    </w:rPr>
  </w:style>
  <w:style w:type="character" w:customStyle="1" w:styleId="AntrinispavadinimasDiagrama">
    <w:name w:val="Antrinis pavadinimas Diagrama"/>
    <w:link w:val="Antrinispavadinimas"/>
    <w:rsid w:val="005410FE"/>
    <w:rPr>
      <w:rFonts w:ascii="Cambria" w:eastAsia="Times New Roman" w:hAnsi="Cambria" w:cs="Times New Roman"/>
      <w:sz w:val="24"/>
      <w:szCs w:val="24"/>
      <w:lang w:eastAsia="ar-SA"/>
    </w:rPr>
  </w:style>
  <w:style w:type="character" w:customStyle="1" w:styleId="Antrat1Diagrama">
    <w:name w:val="Antraštė 1 Diagrama"/>
    <w:link w:val="Antrat1"/>
    <w:rsid w:val="00E5791B"/>
    <w:rPr>
      <w:rFonts w:ascii="Cambria" w:hAnsi="Cambria"/>
      <w:b/>
      <w:bCs/>
      <w:kern w:val="1"/>
      <w:sz w:val="32"/>
      <w:szCs w:val="32"/>
      <w:lang w:val="x-none" w:eastAsia="ar-SA"/>
    </w:rPr>
  </w:style>
  <w:style w:type="paragraph" w:styleId="Sraopastraipa">
    <w:name w:val="List Paragraph"/>
    <w:basedOn w:val="prastasis"/>
    <w:uiPriority w:val="34"/>
    <w:qFormat/>
    <w:rsid w:val="00E5791B"/>
    <w:pPr>
      <w:ind w:left="720"/>
      <w:contextualSpacing/>
    </w:pPr>
  </w:style>
  <w:style w:type="paragraph" w:customStyle="1" w:styleId="Sraas1">
    <w:name w:val="Sąrašas 1"/>
    <w:basedOn w:val="prastasis"/>
    <w:link w:val="Sraas1Diagrama"/>
    <w:qFormat/>
    <w:rsid w:val="00E5791B"/>
    <w:pPr>
      <w:numPr>
        <w:numId w:val="14"/>
      </w:numPr>
      <w:tabs>
        <w:tab w:val="left" w:pos="993"/>
      </w:tabs>
      <w:suppressAutoHyphens w:val="0"/>
      <w:autoSpaceDE w:val="0"/>
      <w:autoSpaceDN w:val="0"/>
      <w:adjustRightInd w:val="0"/>
      <w:spacing w:line="320" w:lineRule="atLeast"/>
      <w:jc w:val="both"/>
    </w:pPr>
    <w:rPr>
      <w:rFonts w:eastAsia="Calibri"/>
      <w:lang w:val="x-none" w:eastAsia="en-US"/>
    </w:rPr>
  </w:style>
  <w:style w:type="paragraph" w:customStyle="1" w:styleId="Sraas11">
    <w:name w:val="Sąrašas 1.1"/>
    <w:basedOn w:val="prastasis"/>
    <w:link w:val="Sraas11Diagrama"/>
    <w:qFormat/>
    <w:rsid w:val="00E5791B"/>
    <w:pPr>
      <w:widowControl w:val="0"/>
      <w:numPr>
        <w:ilvl w:val="1"/>
        <w:numId w:val="14"/>
      </w:numPr>
      <w:shd w:val="clear" w:color="auto" w:fill="FFFFFF"/>
      <w:tabs>
        <w:tab w:val="left" w:pos="1701"/>
      </w:tabs>
      <w:suppressAutoHyphens w:val="0"/>
      <w:autoSpaceDE w:val="0"/>
      <w:autoSpaceDN w:val="0"/>
      <w:adjustRightInd w:val="0"/>
      <w:spacing w:line="320" w:lineRule="atLeast"/>
      <w:jc w:val="both"/>
    </w:pPr>
    <w:rPr>
      <w:rFonts w:eastAsia="Calibri"/>
      <w:lang w:val="x-none" w:eastAsia="en-US"/>
    </w:rPr>
  </w:style>
  <w:style w:type="character" w:customStyle="1" w:styleId="Sraas1Diagrama">
    <w:name w:val="Sąrašas 1 Diagrama"/>
    <w:link w:val="Sraas1"/>
    <w:rsid w:val="00E5791B"/>
    <w:rPr>
      <w:rFonts w:eastAsia="Calibri"/>
      <w:sz w:val="24"/>
      <w:szCs w:val="24"/>
      <w:lang w:val="x-none" w:eastAsia="en-US"/>
    </w:rPr>
  </w:style>
  <w:style w:type="character" w:customStyle="1" w:styleId="Sraas11Diagrama">
    <w:name w:val="Sąrašas 1.1 Diagrama"/>
    <w:link w:val="Sraas11"/>
    <w:rsid w:val="00E5791B"/>
    <w:rPr>
      <w:rFonts w:eastAsia="Calibri"/>
      <w:sz w:val="24"/>
      <w:szCs w:val="24"/>
      <w:shd w:val="clear" w:color="auto" w:fill="FFFFFF"/>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pPr>
      <w:suppressAutoHyphens/>
    </w:pPr>
    <w:rPr>
      <w:sz w:val="24"/>
      <w:szCs w:val="24"/>
      <w:lang w:eastAsia="ar-SA"/>
    </w:rPr>
  </w:style>
  <w:style w:type="paragraph" w:styleId="Antrat1">
    <w:name w:val="heading 1"/>
    <w:basedOn w:val="prastasis"/>
    <w:next w:val="prastasis"/>
    <w:link w:val="Antrat1Diagrama"/>
    <w:qFormat/>
    <w:rsid w:val="00E5791B"/>
    <w:pPr>
      <w:keepNext/>
      <w:spacing w:before="240" w:after="60"/>
      <w:outlineLvl w:val="0"/>
    </w:pPr>
    <w:rPr>
      <w:rFonts w:ascii="Cambria" w:hAnsi="Cambria"/>
      <w:b/>
      <w:bCs/>
      <w:kern w:val="1"/>
      <w:sz w:val="32"/>
      <w:szCs w:val="32"/>
      <w:lang w:val="x-none"/>
    </w:rPr>
  </w:style>
  <w:style w:type="character" w:default="1" w:styleId="Numatytasispastraiposriftas">
    <w:name w:val="Default Paragraph Font"/>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DefaultParagraphFont">
    <w:name w:val="Default Paragraph Font"/>
  </w:style>
  <w:style w:type="character" w:customStyle="1" w:styleId="Numeravimosimboliai">
    <w:name w:val="Numeravimo simboliai"/>
  </w:style>
  <w:style w:type="paragraph" w:customStyle="1" w:styleId="Antrat10">
    <w:name w:val="Antraštė1"/>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pPr>
      <w:spacing w:after="120"/>
    </w:pPr>
  </w:style>
  <w:style w:type="paragraph" w:styleId="Sraas">
    <w:name w:val="List"/>
    <w:basedOn w:val="Pagrindinistekstas"/>
    <w:rPr>
      <w:rFonts w:cs="Tahoma"/>
    </w:rPr>
  </w:style>
  <w:style w:type="paragraph" w:customStyle="1" w:styleId="Pavadinimas1">
    <w:name w:val="Pavadinimas1"/>
    <w:basedOn w:val="prastasis"/>
    <w:pPr>
      <w:suppressLineNumbers/>
      <w:spacing w:before="120" w:after="120"/>
    </w:pPr>
    <w:rPr>
      <w:rFonts w:cs="Tahoma"/>
      <w:i/>
      <w:iCs/>
    </w:rPr>
  </w:style>
  <w:style w:type="paragraph" w:customStyle="1" w:styleId="Rodykl">
    <w:name w:val="Rodyklė"/>
    <w:basedOn w:val="prastasis"/>
    <w:pPr>
      <w:suppressLineNumbers/>
    </w:pPr>
    <w:rPr>
      <w:rFonts w:cs="Tahoma"/>
    </w:rPr>
  </w:style>
  <w:style w:type="paragraph" w:customStyle="1" w:styleId="Default">
    <w:name w:val="Default"/>
    <w:pPr>
      <w:suppressAutoHyphens/>
      <w:autoSpaceDE w:val="0"/>
    </w:pPr>
    <w:rPr>
      <w:rFonts w:eastAsia="Arial"/>
      <w:color w:val="000000"/>
      <w:sz w:val="24"/>
      <w:szCs w:val="24"/>
      <w:lang w:eastAsia="ar-SA"/>
    </w:rPr>
  </w:style>
  <w:style w:type="character" w:styleId="Hipersaitas">
    <w:name w:val="Hyperlink"/>
    <w:rsid w:val="00E052F7"/>
    <w:rPr>
      <w:color w:val="000080"/>
      <w:u w:val="single"/>
      <w:lang/>
    </w:rPr>
  </w:style>
  <w:style w:type="paragraph" w:styleId="Antrats">
    <w:name w:val="header"/>
    <w:basedOn w:val="prastasis"/>
    <w:rsid w:val="0032555F"/>
    <w:pPr>
      <w:tabs>
        <w:tab w:val="center" w:pos="4819"/>
        <w:tab w:val="right" w:pos="9638"/>
      </w:tabs>
    </w:pPr>
  </w:style>
  <w:style w:type="character" w:styleId="Puslapionumeris">
    <w:name w:val="page number"/>
    <w:basedOn w:val="Numatytasispastraiposriftas"/>
    <w:rsid w:val="0032555F"/>
  </w:style>
  <w:style w:type="paragraph" w:styleId="Debesliotekstas">
    <w:name w:val="Balloon Text"/>
    <w:basedOn w:val="prastasis"/>
    <w:link w:val="DebesliotekstasDiagrama"/>
    <w:rsid w:val="0082530D"/>
    <w:rPr>
      <w:rFonts w:ascii="Tahoma" w:hAnsi="Tahoma" w:cs="Tahoma"/>
      <w:sz w:val="16"/>
      <w:szCs w:val="16"/>
    </w:rPr>
  </w:style>
  <w:style w:type="character" w:customStyle="1" w:styleId="DebesliotekstasDiagrama">
    <w:name w:val="Debesėlio tekstas Diagrama"/>
    <w:link w:val="Debesliotekstas"/>
    <w:rsid w:val="0082530D"/>
    <w:rPr>
      <w:rFonts w:ascii="Tahoma" w:hAnsi="Tahoma" w:cs="Tahoma"/>
      <w:sz w:val="16"/>
      <w:szCs w:val="16"/>
      <w:lang w:eastAsia="ar-SA"/>
    </w:rPr>
  </w:style>
  <w:style w:type="paragraph" w:styleId="Porat">
    <w:name w:val="footer"/>
    <w:basedOn w:val="prastasis"/>
    <w:link w:val="PoratDiagrama"/>
    <w:rsid w:val="00666D25"/>
    <w:pPr>
      <w:tabs>
        <w:tab w:val="center" w:pos="4819"/>
        <w:tab w:val="right" w:pos="9638"/>
      </w:tabs>
    </w:pPr>
  </w:style>
  <w:style w:type="character" w:customStyle="1" w:styleId="PoratDiagrama">
    <w:name w:val="Poraštė Diagrama"/>
    <w:link w:val="Porat"/>
    <w:rsid w:val="00666D25"/>
    <w:rPr>
      <w:sz w:val="24"/>
      <w:szCs w:val="24"/>
      <w:lang w:eastAsia="ar-SA"/>
    </w:rPr>
  </w:style>
  <w:style w:type="paragraph" w:styleId="Antrinispavadinimas">
    <w:name w:val="Subtitle"/>
    <w:basedOn w:val="prastasis"/>
    <w:next w:val="prastasis"/>
    <w:link w:val="AntrinispavadinimasDiagrama"/>
    <w:qFormat/>
    <w:rsid w:val="005410FE"/>
    <w:pPr>
      <w:spacing w:after="60"/>
      <w:jc w:val="center"/>
      <w:outlineLvl w:val="1"/>
    </w:pPr>
    <w:rPr>
      <w:rFonts w:ascii="Cambria" w:hAnsi="Cambria"/>
    </w:rPr>
  </w:style>
  <w:style w:type="character" w:customStyle="1" w:styleId="AntrinispavadinimasDiagrama">
    <w:name w:val="Antrinis pavadinimas Diagrama"/>
    <w:link w:val="Antrinispavadinimas"/>
    <w:rsid w:val="005410FE"/>
    <w:rPr>
      <w:rFonts w:ascii="Cambria" w:eastAsia="Times New Roman" w:hAnsi="Cambria" w:cs="Times New Roman"/>
      <w:sz w:val="24"/>
      <w:szCs w:val="24"/>
      <w:lang w:eastAsia="ar-SA"/>
    </w:rPr>
  </w:style>
  <w:style w:type="character" w:customStyle="1" w:styleId="Antrat1Diagrama">
    <w:name w:val="Antraštė 1 Diagrama"/>
    <w:link w:val="Antrat1"/>
    <w:rsid w:val="00E5791B"/>
    <w:rPr>
      <w:rFonts w:ascii="Cambria" w:hAnsi="Cambria"/>
      <w:b/>
      <w:bCs/>
      <w:kern w:val="1"/>
      <w:sz w:val="32"/>
      <w:szCs w:val="32"/>
      <w:lang w:val="x-none" w:eastAsia="ar-SA"/>
    </w:rPr>
  </w:style>
  <w:style w:type="paragraph" w:styleId="Sraopastraipa">
    <w:name w:val="List Paragraph"/>
    <w:basedOn w:val="prastasis"/>
    <w:uiPriority w:val="34"/>
    <w:qFormat/>
    <w:rsid w:val="00E5791B"/>
    <w:pPr>
      <w:ind w:left="720"/>
      <w:contextualSpacing/>
    </w:pPr>
  </w:style>
  <w:style w:type="paragraph" w:customStyle="1" w:styleId="Sraas1">
    <w:name w:val="Sąrašas 1"/>
    <w:basedOn w:val="prastasis"/>
    <w:link w:val="Sraas1Diagrama"/>
    <w:qFormat/>
    <w:rsid w:val="00E5791B"/>
    <w:pPr>
      <w:numPr>
        <w:numId w:val="14"/>
      </w:numPr>
      <w:tabs>
        <w:tab w:val="left" w:pos="993"/>
      </w:tabs>
      <w:suppressAutoHyphens w:val="0"/>
      <w:autoSpaceDE w:val="0"/>
      <w:autoSpaceDN w:val="0"/>
      <w:adjustRightInd w:val="0"/>
      <w:spacing w:line="320" w:lineRule="atLeast"/>
      <w:jc w:val="both"/>
    </w:pPr>
    <w:rPr>
      <w:rFonts w:eastAsia="Calibri"/>
      <w:lang w:val="x-none" w:eastAsia="en-US"/>
    </w:rPr>
  </w:style>
  <w:style w:type="paragraph" w:customStyle="1" w:styleId="Sraas11">
    <w:name w:val="Sąrašas 1.1"/>
    <w:basedOn w:val="prastasis"/>
    <w:link w:val="Sraas11Diagrama"/>
    <w:qFormat/>
    <w:rsid w:val="00E5791B"/>
    <w:pPr>
      <w:widowControl w:val="0"/>
      <w:numPr>
        <w:ilvl w:val="1"/>
        <w:numId w:val="14"/>
      </w:numPr>
      <w:shd w:val="clear" w:color="auto" w:fill="FFFFFF"/>
      <w:tabs>
        <w:tab w:val="left" w:pos="1701"/>
      </w:tabs>
      <w:suppressAutoHyphens w:val="0"/>
      <w:autoSpaceDE w:val="0"/>
      <w:autoSpaceDN w:val="0"/>
      <w:adjustRightInd w:val="0"/>
      <w:spacing w:line="320" w:lineRule="atLeast"/>
      <w:jc w:val="both"/>
    </w:pPr>
    <w:rPr>
      <w:rFonts w:eastAsia="Calibri"/>
      <w:lang w:val="x-none" w:eastAsia="en-US"/>
    </w:rPr>
  </w:style>
  <w:style w:type="character" w:customStyle="1" w:styleId="Sraas1Diagrama">
    <w:name w:val="Sąrašas 1 Diagrama"/>
    <w:link w:val="Sraas1"/>
    <w:rsid w:val="00E5791B"/>
    <w:rPr>
      <w:rFonts w:eastAsia="Calibri"/>
      <w:sz w:val="24"/>
      <w:szCs w:val="24"/>
      <w:lang w:val="x-none" w:eastAsia="en-US"/>
    </w:rPr>
  </w:style>
  <w:style w:type="character" w:customStyle="1" w:styleId="Sraas11Diagrama">
    <w:name w:val="Sąrašas 1.1 Diagrama"/>
    <w:link w:val="Sraas11"/>
    <w:rsid w:val="00E5791B"/>
    <w:rPr>
      <w:rFonts w:eastAsia="Calibri"/>
      <w:sz w:val="24"/>
      <w:szCs w:val="24"/>
      <w:shd w:val="clear" w:color="auto" w:fill="FFFFFF"/>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2622">
      <w:bodyDiv w:val="1"/>
      <w:marLeft w:val="0"/>
      <w:marRight w:val="0"/>
      <w:marTop w:val="0"/>
      <w:marBottom w:val="0"/>
      <w:divBdr>
        <w:top w:val="none" w:sz="0" w:space="0" w:color="auto"/>
        <w:left w:val="none" w:sz="0" w:space="0" w:color="auto"/>
        <w:bottom w:val="none" w:sz="0" w:space="0" w:color="auto"/>
        <w:right w:val="none" w:sz="0" w:space="0" w:color="auto"/>
      </w:divBdr>
      <w:divsChild>
        <w:div w:id="1921015184">
          <w:marLeft w:val="0"/>
          <w:marRight w:val="0"/>
          <w:marTop w:val="0"/>
          <w:marBottom w:val="0"/>
          <w:divBdr>
            <w:top w:val="none" w:sz="0" w:space="0" w:color="auto"/>
            <w:left w:val="none" w:sz="0" w:space="0" w:color="auto"/>
            <w:bottom w:val="none" w:sz="0" w:space="0" w:color="auto"/>
            <w:right w:val="none" w:sz="0" w:space="0" w:color="auto"/>
          </w:divBdr>
          <w:divsChild>
            <w:div w:id="1475635724">
              <w:marLeft w:val="0"/>
              <w:marRight w:val="0"/>
              <w:marTop w:val="0"/>
              <w:marBottom w:val="0"/>
              <w:divBdr>
                <w:top w:val="none" w:sz="0" w:space="0" w:color="auto"/>
                <w:left w:val="none" w:sz="0" w:space="0" w:color="auto"/>
                <w:bottom w:val="none" w:sz="0" w:space="0" w:color="auto"/>
                <w:right w:val="none" w:sz="0" w:space="0" w:color="auto"/>
              </w:divBdr>
              <w:divsChild>
                <w:div w:id="215968838">
                  <w:marLeft w:val="0"/>
                  <w:marRight w:val="0"/>
                  <w:marTop w:val="0"/>
                  <w:marBottom w:val="0"/>
                  <w:divBdr>
                    <w:top w:val="none" w:sz="0" w:space="0" w:color="auto"/>
                    <w:left w:val="none" w:sz="0" w:space="0" w:color="auto"/>
                    <w:bottom w:val="none" w:sz="0" w:space="0" w:color="auto"/>
                    <w:right w:val="none" w:sz="0" w:space="0" w:color="auto"/>
                  </w:divBdr>
                </w:div>
                <w:div w:id="239413728">
                  <w:marLeft w:val="0"/>
                  <w:marRight w:val="0"/>
                  <w:marTop w:val="0"/>
                  <w:marBottom w:val="0"/>
                  <w:divBdr>
                    <w:top w:val="none" w:sz="0" w:space="0" w:color="auto"/>
                    <w:left w:val="none" w:sz="0" w:space="0" w:color="auto"/>
                    <w:bottom w:val="none" w:sz="0" w:space="0" w:color="auto"/>
                    <w:right w:val="none" w:sz="0" w:space="0" w:color="auto"/>
                  </w:divBdr>
                </w:div>
                <w:div w:id="1317950525">
                  <w:marLeft w:val="0"/>
                  <w:marRight w:val="0"/>
                  <w:marTop w:val="0"/>
                  <w:marBottom w:val="0"/>
                  <w:divBdr>
                    <w:top w:val="none" w:sz="0" w:space="0" w:color="auto"/>
                    <w:left w:val="none" w:sz="0" w:space="0" w:color="auto"/>
                    <w:bottom w:val="none" w:sz="0" w:space="0" w:color="auto"/>
                    <w:right w:val="none" w:sz="0" w:space="0" w:color="auto"/>
                  </w:divBdr>
                </w:div>
                <w:div w:id="192499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87346">
      <w:bodyDiv w:val="1"/>
      <w:marLeft w:val="0"/>
      <w:marRight w:val="0"/>
      <w:marTop w:val="0"/>
      <w:marBottom w:val="0"/>
      <w:divBdr>
        <w:top w:val="none" w:sz="0" w:space="0" w:color="auto"/>
        <w:left w:val="none" w:sz="0" w:space="0" w:color="auto"/>
        <w:bottom w:val="none" w:sz="0" w:space="0" w:color="auto"/>
        <w:right w:val="none" w:sz="0" w:space="0" w:color="auto"/>
      </w:divBdr>
    </w:div>
    <w:div w:id="510292130">
      <w:bodyDiv w:val="1"/>
      <w:marLeft w:val="0"/>
      <w:marRight w:val="0"/>
      <w:marTop w:val="0"/>
      <w:marBottom w:val="0"/>
      <w:divBdr>
        <w:top w:val="none" w:sz="0" w:space="0" w:color="auto"/>
        <w:left w:val="none" w:sz="0" w:space="0" w:color="auto"/>
        <w:bottom w:val="none" w:sz="0" w:space="0" w:color="auto"/>
        <w:right w:val="none" w:sz="0" w:space="0" w:color="auto"/>
      </w:divBdr>
    </w:div>
    <w:div w:id="708644725">
      <w:bodyDiv w:val="1"/>
      <w:marLeft w:val="0"/>
      <w:marRight w:val="0"/>
      <w:marTop w:val="0"/>
      <w:marBottom w:val="0"/>
      <w:divBdr>
        <w:top w:val="none" w:sz="0" w:space="0" w:color="auto"/>
        <w:left w:val="none" w:sz="0" w:space="0" w:color="auto"/>
        <w:bottom w:val="none" w:sz="0" w:space="0" w:color="auto"/>
        <w:right w:val="none" w:sz="0" w:space="0" w:color="auto"/>
      </w:divBdr>
    </w:div>
    <w:div w:id="843476660">
      <w:bodyDiv w:val="1"/>
      <w:marLeft w:val="0"/>
      <w:marRight w:val="0"/>
      <w:marTop w:val="0"/>
      <w:marBottom w:val="0"/>
      <w:divBdr>
        <w:top w:val="none" w:sz="0" w:space="0" w:color="auto"/>
        <w:left w:val="none" w:sz="0" w:space="0" w:color="auto"/>
        <w:bottom w:val="none" w:sz="0" w:space="0" w:color="auto"/>
        <w:right w:val="none" w:sz="0" w:space="0" w:color="auto"/>
      </w:divBdr>
    </w:div>
    <w:div w:id="1084686603">
      <w:bodyDiv w:val="1"/>
      <w:marLeft w:val="0"/>
      <w:marRight w:val="0"/>
      <w:marTop w:val="0"/>
      <w:marBottom w:val="0"/>
      <w:divBdr>
        <w:top w:val="none" w:sz="0" w:space="0" w:color="auto"/>
        <w:left w:val="none" w:sz="0" w:space="0" w:color="auto"/>
        <w:bottom w:val="none" w:sz="0" w:space="0" w:color="auto"/>
        <w:right w:val="none" w:sz="0" w:space="0" w:color="auto"/>
      </w:divBdr>
    </w:div>
    <w:div w:id="1317223774">
      <w:bodyDiv w:val="1"/>
      <w:marLeft w:val="0"/>
      <w:marRight w:val="0"/>
      <w:marTop w:val="0"/>
      <w:marBottom w:val="0"/>
      <w:divBdr>
        <w:top w:val="none" w:sz="0" w:space="0" w:color="auto"/>
        <w:left w:val="none" w:sz="0" w:space="0" w:color="auto"/>
        <w:bottom w:val="none" w:sz="0" w:space="0" w:color="auto"/>
        <w:right w:val="none" w:sz="0" w:space="0" w:color="auto"/>
      </w:divBdr>
    </w:div>
    <w:div w:id="1410426614">
      <w:bodyDiv w:val="1"/>
      <w:marLeft w:val="0"/>
      <w:marRight w:val="0"/>
      <w:marTop w:val="0"/>
      <w:marBottom w:val="0"/>
      <w:divBdr>
        <w:top w:val="none" w:sz="0" w:space="0" w:color="auto"/>
        <w:left w:val="none" w:sz="0" w:space="0" w:color="auto"/>
        <w:bottom w:val="none" w:sz="0" w:space="0" w:color="auto"/>
        <w:right w:val="none" w:sz="0" w:space="0" w:color="auto"/>
      </w:divBdr>
    </w:div>
    <w:div w:id="1516529121">
      <w:bodyDiv w:val="1"/>
      <w:marLeft w:val="0"/>
      <w:marRight w:val="0"/>
      <w:marTop w:val="0"/>
      <w:marBottom w:val="0"/>
      <w:divBdr>
        <w:top w:val="none" w:sz="0" w:space="0" w:color="auto"/>
        <w:left w:val="none" w:sz="0" w:space="0" w:color="auto"/>
        <w:bottom w:val="none" w:sz="0" w:space="0" w:color="auto"/>
        <w:right w:val="none" w:sz="0" w:space="0" w:color="auto"/>
      </w:divBdr>
    </w:div>
    <w:div w:id="1551766308">
      <w:bodyDiv w:val="1"/>
      <w:marLeft w:val="0"/>
      <w:marRight w:val="0"/>
      <w:marTop w:val="0"/>
      <w:marBottom w:val="0"/>
      <w:divBdr>
        <w:top w:val="none" w:sz="0" w:space="0" w:color="auto"/>
        <w:left w:val="none" w:sz="0" w:space="0" w:color="auto"/>
        <w:bottom w:val="none" w:sz="0" w:space="0" w:color="auto"/>
        <w:right w:val="none" w:sz="0" w:space="0" w:color="auto"/>
      </w:divBdr>
    </w:div>
    <w:div w:id="1558080962">
      <w:bodyDiv w:val="1"/>
      <w:marLeft w:val="0"/>
      <w:marRight w:val="0"/>
      <w:marTop w:val="0"/>
      <w:marBottom w:val="0"/>
      <w:divBdr>
        <w:top w:val="none" w:sz="0" w:space="0" w:color="auto"/>
        <w:left w:val="none" w:sz="0" w:space="0" w:color="auto"/>
        <w:bottom w:val="none" w:sz="0" w:space="0" w:color="auto"/>
        <w:right w:val="none" w:sz="0" w:space="0" w:color="auto"/>
      </w:divBdr>
    </w:div>
    <w:div w:id="1766417057">
      <w:bodyDiv w:val="1"/>
      <w:marLeft w:val="0"/>
      <w:marRight w:val="0"/>
      <w:marTop w:val="0"/>
      <w:marBottom w:val="0"/>
      <w:divBdr>
        <w:top w:val="none" w:sz="0" w:space="0" w:color="auto"/>
        <w:left w:val="none" w:sz="0" w:space="0" w:color="auto"/>
        <w:bottom w:val="none" w:sz="0" w:space="0" w:color="auto"/>
        <w:right w:val="none" w:sz="0" w:space="0" w:color="auto"/>
      </w:divBdr>
    </w:div>
    <w:div w:id="195424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iana.porfirjeva\Documents\VSAKIS\2017%20metus\2017%20VSAKIS%20tikrinimai\CR&#302;%202017\2017%20lentel&#279;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diana.porfirjeva\Documents\VSAKIS\2017%20metus\2017%20VSAKIS%20tikrinimai\CR&#302;%202017\2017%20lentel&#279;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a:t>Mokesčių pajamos 2016 - 2017 metais, tūkst. Eur</a:t>
            </a:r>
          </a:p>
        </c:rich>
      </c:tx>
      <c:overlay val="0"/>
    </c:title>
    <c:autoTitleDeleted val="0"/>
    <c:plotArea>
      <c:layout>
        <c:manualLayout>
          <c:layoutTarget val="inner"/>
          <c:xMode val="edge"/>
          <c:yMode val="edge"/>
          <c:x val="1.5357764454767482E-2"/>
          <c:y val="0.21636203057556194"/>
          <c:w val="0.96928447109046501"/>
          <c:h val="0.64064683857645766"/>
        </c:manualLayout>
      </c:layout>
      <c:barChart>
        <c:barDir val="col"/>
        <c:grouping val="clustered"/>
        <c:varyColors val="0"/>
        <c:ser>
          <c:idx val="0"/>
          <c:order val="0"/>
          <c:tx>
            <c:strRef>
              <c:f>Lapas1!$C$2</c:f>
              <c:strCache>
                <c:ptCount val="1"/>
                <c:pt idx="0">
                  <c:v>2016 m.</c:v>
                </c:pt>
              </c:strCache>
            </c:strRef>
          </c:tx>
          <c:invertIfNegative val="0"/>
          <c:dLbls>
            <c:txPr>
              <a:bodyPr/>
              <a:lstStyle/>
              <a:p>
                <a:pPr>
                  <a:defRPr sz="700" baseline="0"/>
                </a:pPr>
                <a:endParaRPr lang="lt-LT"/>
              </a:p>
            </c:txPr>
            <c:showLegendKey val="0"/>
            <c:showVal val="1"/>
            <c:showCatName val="0"/>
            <c:showSerName val="0"/>
            <c:showPercent val="0"/>
            <c:showBubbleSize val="0"/>
            <c:showLeaderLines val="0"/>
          </c:dLbls>
          <c:cat>
            <c:strRef>
              <c:f>Lapas1!$B$3:$B$8</c:f>
              <c:strCache>
                <c:ptCount val="6"/>
                <c:pt idx="0">
                  <c:v>Gyventojų pajamų mokestis</c:v>
                </c:pt>
                <c:pt idx="1">
                  <c:v>Žemės mokestis</c:v>
                </c:pt>
                <c:pt idx="2">
                  <c:v>Paveldimo turto mokestis</c:v>
                </c:pt>
                <c:pt idx="3">
                  <c:v>Nekilnojamojo turto mokestis</c:v>
                </c:pt>
                <c:pt idx="4">
                  <c:v>Mokestis už valstybinius gamtos išteklius</c:v>
                </c:pt>
                <c:pt idx="5">
                  <c:v>Mokestis už aplinkos teršimą</c:v>
                </c:pt>
              </c:strCache>
            </c:strRef>
          </c:cat>
          <c:val>
            <c:numRef>
              <c:f>Lapas1!$C$3:$C$8</c:f>
              <c:numCache>
                <c:formatCode>0.00_ ;\-0.00\ </c:formatCode>
                <c:ptCount val="6"/>
                <c:pt idx="0">
                  <c:v>42612</c:v>
                </c:pt>
                <c:pt idx="1">
                  <c:v>331.1</c:v>
                </c:pt>
                <c:pt idx="2">
                  <c:v>56.55</c:v>
                </c:pt>
                <c:pt idx="3">
                  <c:v>3233.52</c:v>
                </c:pt>
                <c:pt idx="4">
                  <c:v>57.7</c:v>
                </c:pt>
                <c:pt idx="5">
                  <c:v>22.58</c:v>
                </c:pt>
              </c:numCache>
            </c:numRef>
          </c:val>
        </c:ser>
        <c:ser>
          <c:idx val="1"/>
          <c:order val="1"/>
          <c:tx>
            <c:strRef>
              <c:f>Lapas1!$D$2</c:f>
              <c:strCache>
                <c:ptCount val="1"/>
                <c:pt idx="0">
                  <c:v>2017 m.</c:v>
                </c:pt>
              </c:strCache>
            </c:strRef>
          </c:tx>
          <c:invertIfNegative val="0"/>
          <c:dLbls>
            <c:txPr>
              <a:bodyPr/>
              <a:lstStyle/>
              <a:p>
                <a:pPr>
                  <a:defRPr sz="700" baseline="0"/>
                </a:pPr>
                <a:endParaRPr lang="lt-LT"/>
              </a:p>
            </c:txPr>
            <c:showLegendKey val="0"/>
            <c:showVal val="1"/>
            <c:showCatName val="0"/>
            <c:showSerName val="0"/>
            <c:showPercent val="0"/>
            <c:showBubbleSize val="0"/>
            <c:showLeaderLines val="0"/>
          </c:dLbls>
          <c:cat>
            <c:strRef>
              <c:f>Lapas1!$B$3:$B$8</c:f>
              <c:strCache>
                <c:ptCount val="6"/>
                <c:pt idx="0">
                  <c:v>Gyventojų pajamų mokestis</c:v>
                </c:pt>
                <c:pt idx="1">
                  <c:v>Žemės mokestis</c:v>
                </c:pt>
                <c:pt idx="2">
                  <c:v>Paveldimo turto mokestis</c:v>
                </c:pt>
                <c:pt idx="3">
                  <c:v>Nekilnojamojo turto mokestis</c:v>
                </c:pt>
                <c:pt idx="4">
                  <c:v>Mokestis už valstybinius gamtos išteklius</c:v>
                </c:pt>
                <c:pt idx="5">
                  <c:v>Mokestis už aplinkos teršimą</c:v>
                </c:pt>
              </c:strCache>
            </c:strRef>
          </c:cat>
          <c:val>
            <c:numRef>
              <c:f>Lapas1!$D$3:$D$8</c:f>
              <c:numCache>
                <c:formatCode>0.00_ ;\-0.00\ </c:formatCode>
                <c:ptCount val="6"/>
                <c:pt idx="0">
                  <c:v>47563.41</c:v>
                </c:pt>
                <c:pt idx="1">
                  <c:v>370.07</c:v>
                </c:pt>
                <c:pt idx="2">
                  <c:v>89.56</c:v>
                </c:pt>
                <c:pt idx="3">
                  <c:v>3521.78</c:v>
                </c:pt>
                <c:pt idx="4">
                  <c:v>108.58</c:v>
                </c:pt>
                <c:pt idx="5">
                  <c:v>133.25</c:v>
                </c:pt>
              </c:numCache>
            </c:numRef>
          </c:val>
        </c:ser>
        <c:dLbls>
          <c:showLegendKey val="0"/>
          <c:showVal val="1"/>
          <c:showCatName val="0"/>
          <c:showSerName val="0"/>
          <c:showPercent val="0"/>
          <c:showBubbleSize val="0"/>
        </c:dLbls>
        <c:gapWidth val="150"/>
        <c:overlap val="-25"/>
        <c:axId val="264940032"/>
        <c:axId val="259863616"/>
      </c:barChart>
      <c:catAx>
        <c:axId val="264940032"/>
        <c:scaling>
          <c:orientation val="minMax"/>
        </c:scaling>
        <c:delete val="0"/>
        <c:axPos val="b"/>
        <c:majorTickMark val="none"/>
        <c:minorTickMark val="none"/>
        <c:tickLblPos val="nextTo"/>
        <c:txPr>
          <a:bodyPr rot="0" vert="horz"/>
          <a:lstStyle/>
          <a:p>
            <a:pPr>
              <a:defRPr/>
            </a:pPr>
            <a:endParaRPr lang="lt-LT"/>
          </a:p>
        </c:txPr>
        <c:crossAx val="259863616"/>
        <c:crosses val="autoZero"/>
        <c:auto val="1"/>
        <c:lblAlgn val="ctr"/>
        <c:lblOffset val="100"/>
        <c:noMultiLvlLbl val="0"/>
      </c:catAx>
      <c:valAx>
        <c:axId val="259863616"/>
        <c:scaling>
          <c:orientation val="minMax"/>
        </c:scaling>
        <c:delete val="1"/>
        <c:axPos val="l"/>
        <c:numFmt formatCode="0.00_ ;\-0.00\ " sourceLinked="1"/>
        <c:majorTickMark val="none"/>
        <c:minorTickMark val="none"/>
        <c:tickLblPos val="nextTo"/>
        <c:crossAx val="264940032"/>
        <c:crosses val="autoZero"/>
        <c:crossBetween val="between"/>
      </c:valAx>
    </c:plotArea>
    <c:legend>
      <c:legendPos val="t"/>
      <c:legendEntry>
        <c:idx val="0"/>
        <c:txPr>
          <a:bodyPr/>
          <a:lstStyle/>
          <a:p>
            <a:pPr>
              <a:defRPr sz="1200" baseline="0"/>
            </a:pPr>
            <a:endParaRPr lang="lt-LT"/>
          </a:p>
        </c:txPr>
      </c:legendEntry>
      <c:legendEntry>
        <c:idx val="1"/>
        <c:txPr>
          <a:bodyPr/>
          <a:lstStyle/>
          <a:p>
            <a:pPr>
              <a:defRPr sz="1200" baseline="0"/>
            </a:pPr>
            <a:endParaRPr lang="lt-LT"/>
          </a:p>
        </c:txPr>
      </c:legendEntry>
      <c:layout>
        <c:manualLayout>
          <c:xMode val="edge"/>
          <c:yMode val="edge"/>
          <c:x val="0.3508238885463838"/>
          <c:y val="0.21206285359431984"/>
          <c:w val="0.26763669399769752"/>
          <c:h val="0.11950831842745313"/>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a:t>2017 m. pagrindinės veiklos sąnaudos pagal segmentus, tūkst. Eur</a:t>
            </a:r>
          </a:p>
        </c:rich>
      </c:tx>
      <c:overlay val="0"/>
    </c:title>
    <c:autoTitleDeleted val="0"/>
    <c:plotArea>
      <c:layout/>
      <c:barChart>
        <c:barDir val="col"/>
        <c:grouping val="clustered"/>
        <c:varyColors val="0"/>
        <c:ser>
          <c:idx val="0"/>
          <c:order val="0"/>
          <c:invertIfNegative val="0"/>
          <c:cat>
            <c:strRef>
              <c:f>Lapas2!$A$4:$A$13</c:f>
              <c:strCache>
                <c:ptCount val="10"/>
                <c:pt idx="0">
                  <c:v> Bendros valstybės paslaugos</c:v>
                </c:pt>
                <c:pt idx="1">
                  <c:v> Gynyba</c:v>
                </c:pt>
                <c:pt idx="2">
                  <c:v> Viešoji tvarka ir visuomenės apsauga</c:v>
                </c:pt>
                <c:pt idx="3">
                  <c:v> Ekonomika</c:v>
                </c:pt>
                <c:pt idx="4">
                  <c:v> Aplinkos apsauga</c:v>
                </c:pt>
                <c:pt idx="5">
                  <c:v> Būstas ir komunalinis ūkis</c:v>
                </c:pt>
                <c:pt idx="6">
                  <c:v> Sveikatos apsauga</c:v>
                </c:pt>
                <c:pt idx="7">
                  <c:v> Poilsis, kultūra ir religija</c:v>
                </c:pt>
                <c:pt idx="8">
                  <c:v> Švietimas</c:v>
                </c:pt>
                <c:pt idx="9">
                  <c:v> Socialinė apsauga</c:v>
                </c:pt>
              </c:strCache>
            </c:strRef>
          </c:cat>
          <c:val>
            <c:numRef>
              <c:f>Lapas2!$B$4:$B$13</c:f>
              <c:numCache>
                <c:formatCode>0.00</c:formatCode>
                <c:ptCount val="10"/>
                <c:pt idx="0">
                  <c:v>3509.41</c:v>
                </c:pt>
                <c:pt idx="1">
                  <c:v>53.63</c:v>
                </c:pt>
                <c:pt idx="2">
                  <c:v>44.9</c:v>
                </c:pt>
                <c:pt idx="3">
                  <c:v>6174.05</c:v>
                </c:pt>
                <c:pt idx="4">
                  <c:v>6386.1</c:v>
                </c:pt>
                <c:pt idx="5">
                  <c:v>5072.37</c:v>
                </c:pt>
                <c:pt idx="6">
                  <c:v>16399.509999999998</c:v>
                </c:pt>
                <c:pt idx="7">
                  <c:v>4551.3100000000004</c:v>
                </c:pt>
                <c:pt idx="8">
                  <c:v>54960.45</c:v>
                </c:pt>
                <c:pt idx="9">
                  <c:v>23409.33</c:v>
                </c:pt>
              </c:numCache>
            </c:numRef>
          </c:val>
        </c:ser>
        <c:dLbls>
          <c:showLegendKey val="0"/>
          <c:showVal val="1"/>
          <c:showCatName val="0"/>
          <c:showSerName val="0"/>
          <c:showPercent val="0"/>
          <c:showBubbleSize val="0"/>
        </c:dLbls>
        <c:gapWidth val="150"/>
        <c:axId val="258401280"/>
        <c:axId val="259865344"/>
      </c:barChart>
      <c:catAx>
        <c:axId val="258401280"/>
        <c:scaling>
          <c:orientation val="minMax"/>
        </c:scaling>
        <c:delete val="0"/>
        <c:axPos val="b"/>
        <c:majorTickMark val="none"/>
        <c:minorTickMark val="none"/>
        <c:tickLblPos val="nextTo"/>
        <c:crossAx val="259865344"/>
        <c:crosses val="autoZero"/>
        <c:auto val="1"/>
        <c:lblAlgn val="ctr"/>
        <c:lblOffset val="100"/>
        <c:noMultiLvlLbl val="0"/>
      </c:catAx>
      <c:valAx>
        <c:axId val="259865344"/>
        <c:scaling>
          <c:orientation val="minMax"/>
        </c:scaling>
        <c:delete val="1"/>
        <c:axPos val="l"/>
        <c:numFmt formatCode="0.00" sourceLinked="1"/>
        <c:majorTickMark val="none"/>
        <c:minorTickMark val="none"/>
        <c:tickLblPos val="nextTo"/>
        <c:crossAx val="258401280"/>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0E806-C30E-44B3-AF13-6AD19F26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41268</Words>
  <Characters>23523</Characters>
  <Application>Microsoft Office Word</Application>
  <DocSecurity>0</DocSecurity>
  <Lines>196</Lines>
  <Paragraphs>129</Paragraphs>
  <ScaleCrop>false</ScaleCrop>
  <HeadingPairs>
    <vt:vector size="2" baseType="variant">
      <vt:variant>
        <vt:lpstr>Pavadinimas</vt:lpstr>
      </vt:variant>
      <vt:variant>
        <vt:i4>1</vt:i4>
      </vt:variant>
    </vt:vector>
  </HeadingPairs>
  <TitlesOfParts>
    <vt:vector size="1" baseType="lpstr">
      <vt:lpstr>ŠIAULIŲ MIESTO SAVIVALDYBĖS KONSOLIDUOTOSIOS FINANSINĖS ATASKAITOS UŽ METUS, PASIBAIGUSIUS 2011 M</vt:lpstr>
    </vt:vector>
  </TitlesOfParts>
  <Company>smsf</Company>
  <LinksUpToDate>false</LinksUpToDate>
  <CharactersWithSpaces>64662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SAVIVALDYBĖS KONSOLIDUOTOSIOS FINANSINĖS ATASKAITOS UŽ METUS, PASIBAIGUSIUS 2011 M</dc:title>
  <dc:creator>asmobile</dc:creator>
  <cp:lastModifiedBy>Administrator</cp:lastModifiedBy>
  <cp:revision>2</cp:revision>
  <cp:lastPrinted>2017-06-13T10:33:00Z</cp:lastPrinted>
  <dcterms:created xsi:type="dcterms:W3CDTF">2018-06-12T11:13:00Z</dcterms:created>
  <dcterms:modified xsi:type="dcterms:W3CDTF">2018-06-12T11:13:00Z</dcterms:modified>
</cp:coreProperties>
</file>