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>
      <w:pPr>
        <w:tabs>
          <w:tab w:val="center" w:pos="4680"/>
          <w:tab w:val="right" w:pos="9360"/>
        </w:tabs>
        <w:rPr>
          <w:sz w:val="22"/>
          <w:szCs w:val="22"/>
          <w:lang w:val="en-GB"/>
        </w:rPr>
      </w:pPr>
    </w:p>
    <w:p>
      <w:pPr>
        <w:ind w:left="6096" w:right="71"/>
        <w:jc w:val="both"/>
        <w:rPr>
          <w:szCs w:val="24"/>
        </w:rPr>
      </w:pPr>
      <w:r>
        <w:rPr>
          <w:szCs w:val="24"/>
        </w:rPr>
        <w:t>Nevyriausybinių organizacijų ir</w:t>
      </w:r>
    </w:p>
    <w:p>
      <w:pPr>
        <w:ind w:left="6096" w:right="71"/>
        <w:jc w:val="both"/>
        <w:rPr>
          <w:szCs w:val="24"/>
        </w:rPr>
      </w:pPr>
      <w:r>
        <w:rPr>
          <w:szCs w:val="24"/>
        </w:rPr>
        <w:t xml:space="preserve">bendruomeninės veiklos stiprinimo </w:t>
      </w:r>
    </w:p>
    <w:p>
      <w:pPr>
        <w:ind w:left="6096" w:right="71"/>
        <w:jc w:val="both"/>
        <w:rPr>
          <w:color w:val="00000A"/>
          <w:szCs w:val="24"/>
        </w:rPr>
      </w:pPr>
      <w:r>
        <w:rPr>
          <w:szCs w:val="24"/>
        </w:rPr>
        <w:t>2023–2025 metų veiksmų plano 2.1.1.1 priemonės „</w:t>
      </w:r>
      <w:r>
        <w:rPr>
          <w:color w:val="00000A"/>
          <w:szCs w:val="24"/>
        </w:rPr>
        <w:t xml:space="preserve">Stiprinti bendruomeninę veiklą savivaldybėse“ </w:t>
      </w:r>
      <w:r>
        <w:rPr>
          <w:szCs w:val="24"/>
        </w:rPr>
        <w:t>bandomojo modelio įgyvendinimo</w:t>
      </w:r>
      <w:r>
        <w:rPr>
          <w:color w:val="00000A"/>
          <w:szCs w:val="24"/>
        </w:rPr>
        <w:t xml:space="preserve"> aprašo</w:t>
      </w:r>
    </w:p>
    <w:p>
      <w:pPr>
        <w:widowControl w:val="0"/>
        <w:tabs>
          <w:tab w:val="left" w:pos="851"/>
          <w:tab w:val="left" w:pos="1304"/>
          <w:tab w:val="left" w:pos="1457"/>
          <w:tab w:val="left" w:pos="1604"/>
          <w:tab w:val="left" w:pos="1757"/>
        </w:tabs>
        <w:ind w:left="5040" w:firstLine="1116"/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 xml:space="preserve"> priedas</w:t>
      </w:r>
    </w:p>
    <w:p>
      <w:pPr>
        <w:widowControl w:val="0"/>
        <w:tabs>
          <w:tab w:val="left" w:pos="851"/>
          <w:tab w:val="left" w:pos="1304"/>
          <w:tab w:val="left" w:pos="1457"/>
          <w:tab w:val="left" w:pos="1604"/>
          <w:tab w:val="left" w:pos="1757"/>
        </w:tabs>
        <w:ind w:left="5040"/>
        <w:jc w:val="both"/>
        <w:rPr>
          <w:szCs w:val="24"/>
        </w:rPr>
      </w:pPr>
    </w:p>
    <w:p>
      <w:pPr>
        <w:spacing w:line="259" w:lineRule="auto"/>
        <w:jc w:val="center"/>
        <w:rPr>
          <w:b/>
          <w:szCs w:val="24"/>
        </w:rPr>
      </w:pPr>
      <w:r>
        <w:rPr>
          <w:b/>
          <w:szCs w:val="24"/>
        </w:rPr>
        <w:t>(Vertinimo anketos forma)</w:t>
      </w:r>
    </w:p>
    <w:p>
      <w:pPr>
        <w:rPr>
          <w:sz w:val="14"/>
          <w:szCs w:val="14"/>
        </w:rPr>
      </w:pPr>
    </w:p>
    <w:p>
      <w:pPr>
        <w:jc w:val="center"/>
        <w:rPr>
          <w:b/>
          <w:szCs w:val="24"/>
        </w:rPr>
      </w:pPr>
      <w:r>
        <w:rPr>
          <w:b/>
          <w:szCs w:val="24"/>
        </w:rPr>
        <w:t>PROJEKTO, PATEIKTO NEVYRIAUSYBINIŲ ORGANIZACIJŲ VEIKLOS STIPRINIMO 2023</w:t>
      </w:r>
      <w:r>
        <w:rPr>
          <w:szCs w:val="24"/>
        </w:rPr>
        <w:t>–</w:t>
      </w:r>
      <w:r>
        <w:rPr>
          <w:b/>
          <w:szCs w:val="24"/>
        </w:rPr>
        <w:t>2025 METŲ VEIKSMŲ PLANO 2.1.1.1 PRIEMONĖS „STIPRINTI BENDRUOMENINĘ VEIKLĄ SAVIVALDYBĖSE“ BANDOMOJO MODELIO ĮGYVENDINIMO PROJEKTŲ ATRANKOS KONKURSUI, VERTINIMO ANKETA</w:t>
      </w:r>
    </w:p>
    <w:p>
      <w:pPr>
        <w:jc w:val="center"/>
        <w:rPr>
          <w:b/>
          <w:szCs w:val="24"/>
        </w:rPr>
      </w:pPr>
    </w:p>
    <w:tbl>
      <w:tblPr>
        <w:tblW w:w="964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018"/>
        <w:gridCol w:w="6626"/>
      </w:tblGrid>
      <w:tr>
        <w:trPr>
          <w:trHeight w:val="255"/>
        </w:trPr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Pareiškėjo pavadinimas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snapToGrid w:val="0"/>
              <w:spacing w:line="276" w:lineRule="auto"/>
              <w:rPr>
                <w:szCs w:val="24"/>
              </w:rPr>
            </w:pPr>
          </w:p>
        </w:tc>
      </w:tr>
      <w:tr>
        <w:trPr>
          <w:trHeight w:val="255"/>
        </w:trPr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Projekto pavadinimas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snapToGrid w:val="0"/>
              <w:spacing w:line="276" w:lineRule="auto"/>
              <w:rPr>
                <w:szCs w:val="24"/>
              </w:rPr>
            </w:pPr>
          </w:p>
        </w:tc>
      </w:tr>
      <w:tr>
        <w:trPr>
          <w:trHeight w:val="273"/>
        </w:trPr>
        <w:tc>
          <w:tcPr>
            <w:tcW w:w="30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Projekto sąlyginis numeris</w:t>
            </w:r>
          </w:p>
        </w:tc>
        <w:tc>
          <w:tcPr>
            <w:tcW w:w="662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>
            <w:pPr>
              <w:snapToGrid w:val="0"/>
              <w:spacing w:line="276" w:lineRule="auto"/>
              <w:rPr>
                <w:szCs w:val="24"/>
              </w:rPr>
            </w:pPr>
          </w:p>
        </w:tc>
      </w:tr>
      <w:tr>
        <w:trPr>
          <w:trHeight w:val="255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Vertinantis ekspertas</w:t>
            </w:r>
          </w:p>
        </w:tc>
        <w:tc>
          <w:tcPr>
            <w:tcW w:w="6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snapToGrid w:val="0"/>
              <w:spacing w:line="276" w:lineRule="auto"/>
              <w:rPr>
                <w:szCs w:val="24"/>
              </w:rPr>
            </w:pPr>
          </w:p>
        </w:tc>
      </w:tr>
      <w:tr>
        <w:trPr>
          <w:trHeight w:val="273"/>
        </w:trPr>
        <w:tc>
          <w:tcPr>
            <w:tcW w:w="3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Vertinimo data</w:t>
            </w:r>
          </w:p>
        </w:tc>
        <w:tc>
          <w:tcPr>
            <w:tcW w:w="6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snapToGrid w:val="0"/>
              <w:spacing w:line="276" w:lineRule="auto"/>
              <w:rPr>
                <w:szCs w:val="24"/>
              </w:rPr>
            </w:pPr>
          </w:p>
        </w:tc>
      </w:tr>
    </w:tbl>
    <w:p>
      <w:pPr>
        <w:spacing w:line="259" w:lineRule="auto"/>
        <w:rPr>
          <w:b/>
          <w:bCs/>
          <w:sz w:val="22"/>
          <w:szCs w:val="22"/>
        </w:rPr>
      </w:pPr>
    </w:p>
    <w:p>
      <w:pPr>
        <w:rPr>
          <w:sz w:val="14"/>
          <w:szCs w:val="1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  <w:gridCol w:w="6"/>
        <w:gridCol w:w="1224"/>
        <w:gridCol w:w="36"/>
        <w:gridCol w:w="1336"/>
        <w:gridCol w:w="1530"/>
      </w:tblGrid>
      <w:tr>
        <w:tc>
          <w:tcPr>
            <w:tcW w:w="5502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Vertinimo skalė </w:t>
            </w:r>
          </w:p>
        </w:tc>
        <w:tc>
          <w:tcPr>
            <w:tcW w:w="1372" w:type="dxa"/>
            <w:gridSpan w:val="2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Maksimalus galimas skirti balas</w:t>
            </w:r>
          </w:p>
        </w:tc>
        <w:tc>
          <w:tcPr>
            <w:tcW w:w="1530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Siūlomas skirti balas</w:t>
            </w:r>
          </w:p>
        </w:tc>
      </w:tr>
      <w:tr>
        <w:trPr>
          <w:trHeight w:val="474"/>
        </w:trPr>
        <w:tc>
          <w:tcPr>
            <w:tcW w:w="8104" w:type="dxa"/>
            <w:gridSpan w:val="5"/>
            <w:shd w:val="clear" w:color="auto" w:fill="D5DCE4" w:themeFill="text2" w:themeFillTint="33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Projekto pagrindimas, veiklos ir laukiami rezultatai (</w:t>
            </w:r>
            <w:r>
              <w:rPr>
                <w:sz w:val="22"/>
                <w:szCs w:val="22"/>
              </w:rPr>
              <w:t>Nevyriausybinių organizacijų ir bendruomeninės veiklos stiprinimo 2023</w:t>
            </w:r>
            <w:r>
              <w:rPr>
                <w:sz w:val="22"/>
                <w:szCs w:val="24"/>
              </w:rPr>
              <w:t>–</w:t>
            </w:r>
            <w:r>
              <w:rPr>
                <w:sz w:val="22"/>
                <w:szCs w:val="22"/>
              </w:rPr>
              <w:t>2025 metų veiksmų plano 2.1.1.1 priemonės „Stiprinti bendruomeninę veiklą savivaldybėse“ bandomojo modelio įgyvendinimo</w:t>
            </w: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>aprašo</w:t>
            </w:r>
            <w:r>
              <w:rPr>
                <w:sz w:val="22"/>
                <w:szCs w:val="22"/>
              </w:rPr>
              <w:t xml:space="preserve"> (toliau – Aprašas) 1 priedo 3, 4 ir 6 punktai)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30" w:type="dxa"/>
            <w:shd w:val="clear" w:color="auto" w:fill="D5DCE4" w:themeFill="text2" w:themeFillTint="33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Aiškiai ir argumentuotai pagrįstas projekto poreikis ir aktualumas bendruomenei 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Projekto tikslas aiškiai ir tiesiogiai atitinka priemonės tikslus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Aiškiai ir argumentuotai pagrįsti projekto tikslinių grupių poreikiai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Numatytos projekto veiklos aiškiai ir tiesiogiai siejasi su projekto tikslais bei tikslinių grupių poreikiais.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Aiškiai ir argumentuotai atskleisti laukiami projekto rezultatai, kurie nuosekliai siejasi su projekto tikslais ir veiklomis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6732" w:type="dxa"/>
            <w:gridSpan w:val="3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Tarpinė balų suma:</w:t>
            </w:r>
          </w:p>
          <w:p>
            <w:pPr>
              <w:ind w:firstLine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Jeigu už 1 dalį paraiška surinko 30 arba mažiau balų, ji atmetama ir toliau nevertinama</w:t>
            </w:r>
          </w:p>
        </w:tc>
        <w:tc>
          <w:tcPr>
            <w:tcW w:w="1372" w:type="dxa"/>
            <w:gridSpan w:val="2"/>
            <w:shd w:val="clear" w:color="auto" w:fill="ACB9CA" w:themeFill="text2" w:themeFillTint="66"/>
          </w:tcPr>
          <w:p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30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6732" w:type="dxa"/>
            <w:gridSpan w:val="3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shd w:val="clear" w:color="auto" w:fill="ACB9CA" w:themeFill="text2" w:themeFillTint="66"/>
          </w:tcPr>
          <w:p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8104" w:type="dxa"/>
            <w:gridSpan w:val="5"/>
            <w:shd w:val="clear" w:color="auto" w:fill="D5DCE4" w:themeFill="text2" w:themeFillTint="33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II. Pareiškėjo </w:t>
            </w:r>
            <w:r>
              <w:rPr>
                <w:sz w:val="22"/>
                <w:szCs w:val="22"/>
              </w:rPr>
              <w:t xml:space="preserve">patirtis organizuojant projektus, skirtus bendruomeninių organizacijų veiklai organizuoti, jas stiprinti ar su jomis bendradarbiauti  ir projekte planuojamo bendradarbiavimo su kitomis organizacijomis efektyvumas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Aprašo 1 priedo</w:t>
            </w:r>
            <w:r>
              <w:rPr>
                <w:b/>
                <w:bCs/>
                <w:sz w:val="22"/>
                <w:szCs w:val="22"/>
              </w:rPr>
              <w:t xml:space="preserve"> 5.1 ir 5.2 papunkčiai)</w:t>
            </w:r>
          </w:p>
        </w:tc>
        <w:tc>
          <w:tcPr>
            <w:tcW w:w="1530" w:type="dxa"/>
            <w:shd w:val="clear" w:color="auto" w:fill="D5DCE4" w:themeFill="text2" w:themeFillTint="33"/>
          </w:tcPr>
          <w:p>
            <w:pPr>
              <w:spacing w:line="259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Pareiškėjo patirtis ir gebėjimai įgyvendinant bendruomeninius projektus patvirtina pareiškėjo pasirengimą įgyvendinti projektą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Bendradarbiavimas su kitomis organizacijomis ir institucijomis užtikrins sinergiją ir suteiks papildomą vertę projektui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6732" w:type="dxa"/>
            <w:gridSpan w:val="3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Tarpinė balų suma</w:t>
            </w:r>
          </w:p>
        </w:tc>
        <w:tc>
          <w:tcPr>
            <w:tcW w:w="1372" w:type="dxa"/>
            <w:gridSpan w:val="2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0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5508" w:type="dxa"/>
            <w:gridSpan w:val="2"/>
            <w:shd w:val="clear" w:color="auto" w:fill="D5DCE4" w:themeFill="text2" w:themeFillTint="33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III. Projekto sąmatos pagrindimas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Aprašo 59 ir 60 punktai, Aprašo 1 priedo 8 punktas, Aprašo 1 priedo priedas (paraiškos priedas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24" w:type="dxa"/>
            <w:shd w:val="clear" w:color="auto" w:fill="D5DCE4" w:themeFill="text2" w:themeFillTint="33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shd w:val="clear" w:color="auto" w:fill="D5DCE4" w:themeFill="text2" w:themeFillTint="33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5DCE4" w:themeFill="text2" w:themeFillTint="33"/>
          </w:tcPr>
          <w:p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Numatyta bendra projekto sąmata aiškiai ir tiesiogiai siejasi su numatytomis veiklomis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Visos planuojamos išlaidos tinkamos ir atitinka Nevyriausybinių organizacijų ir bendruomeninės veiklos stiprinimo 2023–2025 metų veiksmų plano 2.1.1.1 priemonės „</w:t>
            </w:r>
            <w:r>
              <w:rPr>
                <w:color w:val="00000A"/>
                <w:sz w:val="22"/>
                <w:szCs w:val="22"/>
              </w:rPr>
              <w:t xml:space="preserve">Stiprinti bendruomeninę veiklą savivaldybėse“ </w:t>
            </w:r>
            <w:r>
              <w:rPr>
                <w:sz w:val="22"/>
                <w:szCs w:val="22"/>
              </w:rPr>
              <w:t>bandomojo modelio įgyvendinimo</w:t>
            </w:r>
            <w:r>
              <w:rPr>
                <w:i/>
                <w:iCs/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 xml:space="preserve">aprašo </w:t>
            </w:r>
            <w:r>
              <w:rPr>
                <w:color w:val="00000A"/>
                <w:sz w:val="22"/>
                <w:szCs w:val="22"/>
              </w:rPr>
              <w:t xml:space="preserve">VIII skyriuje numatytus reikalavimus 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Visos planuojamos išlaidos racionalios, pagrįstos ir atitinka rinkos kainas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6768" w:type="dxa"/>
            <w:gridSpan w:val="4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Tarpinė balų suma</w:t>
            </w:r>
          </w:p>
          <w:p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Jeigu už 3 dalį paraiška surinko 15 arba mažiau balų, ji atmetama ir toliau nevertinama</w:t>
            </w:r>
          </w:p>
        </w:tc>
        <w:tc>
          <w:tcPr>
            <w:tcW w:w="1336" w:type="dxa"/>
            <w:shd w:val="clear" w:color="auto" w:fill="ACB9CA" w:themeFill="text2" w:themeFillTint="66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  <w:p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6768" w:type="dxa"/>
            <w:gridSpan w:val="4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Balų suma iš viso (1+2+3):</w:t>
            </w:r>
          </w:p>
        </w:tc>
        <w:tc>
          <w:tcPr>
            <w:tcW w:w="1336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30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>
        <w:tc>
          <w:tcPr>
            <w:tcW w:w="9634" w:type="dxa"/>
            <w:gridSpan w:val="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Prioritetiniai kriterijai (Aprašo 11 punktas):</w:t>
            </w: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arba 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5502" w:type="dxa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230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arba 10</w:t>
            </w:r>
          </w:p>
        </w:tc>
        <w:tc>
          <w:tcPr>
            <w:tcW w:w="1372" w:type="dxa"/>
            <w:gridSpan w:val="2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>
            <w:pPr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6732" w:type="dxa"/>
            <w:gridSpan w:val="3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VISŲ VERTINIMO BALŲ SUMA:</w:t>
            </w:r>
          </w:p>
        </w:tc>
        <w:tc>
          <w:tcPr>
            <w:tcW w:w="1372" w:type="dxa"/>
            <w:gridSpan w:val="2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530" w:type="dxa"/>
            <w:shd w:val="clear" w:color="auto" w:fill="ACB9CA" w:themeFill="text2" w:themeFillTint="66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spacing w:line="259" w:lineRule="auto"/>
        <w:jc w:val="both"/>
        <w:rPr>
          <w:sz w:val="22"/>
          <w:szCs w:val="22"/>
        </w:rPr>
      </w:pPr>
    </w:p>
    <w:p>
      <w:pPr>
        <w:rPr>
          <w:sz w:val="14"/>
          <w:szCs w:val="14"/>
        </w:rPr>
      </w:pPr>
    </w:p>
    <w:tbl>
      <w:tblPr>
        <w:tblW w:w="10616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"/>
        <w:gridCol w:w="1986"/>
        <w:gridCol w:w="1677"/>
        <w:gridCol w:w="1267"/>
        <w:gridCol w:w="1487"/>
        <w:gridCol w:w="3223"/>
        <w:gridCol w:w="938"/>
      </w:tblGrid>
      <w:tr>
        <w:trPr>
          <w:gridAfter w:val="1"/>
          <w:wAfter w:w="938" w:type="dxa"/>
        </w:trPr>
        <w:tc>
          <w:tcPr>
            <w:tcW w:w="3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 w:themeFill="text2" w:themeFillTint="66"/>
          </w:tcPr>
          <w:p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ind w:lef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Vertinusio eksperto komentarai ir išvada</w:t>
            </w:r>
          </w:p>
        </w:tc>
      </w:tr>
      <w:tr>
        <w:trPr>
          <w:gridAfter w:val="1"/>
          <w:wAfter w:w="938" w:type="dxa"/>
        </w:trPr>
        <w:tc>
          <w:tcPr>
            <w:tcW w:w="3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Prašoma </w:t>
            </w:r>
            <w:r>
              <w:rPr>
                <w:sz w:val="22"/>
                <w:szCs w:val="24"/>
              </w:rPr>
              <w:t>valstybės biudžeto</w:t>
            </w:r>
            <w:r>
              <w:rPr>
                <w:bCs/>
                <w:sz w:val="22"/>
                <w:szCs w:val="22"/>
              </w:rPr>
              <w:t xml:space="preserve"> lėšų suma (eurais):</w:t>
            </w:r>
          </w:p>
        </w:tc>
        <w:tc>
          <w:tcPr>
            <w:tcW w:w="5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>
        <w:trPr>
          <w:gridAfter w:val="1"/>
          <w:wAfter w:w="938" w:type="dxa"/>
        </w:trPr>
        <w:tc>
          <w:tcPr>
            <w:tcW w:w="3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Siūloma skirti </w:t>
            </w:r>
            <w:r>
              <w:rPr>
                <w:sz w:val="22"/>
                <w:szCs w:val="24"/>
              </w:rPr>
              <w:t xml:space="preserve">valstybės biudžeto </w:t>
            </w:r>
            <w:r>
              <w:rPr>
                <w:bCs/>
                <w:sz w:val="22"/>
                <w:szCs w:val="22"/>
              </w:rPr>
              <w:t>lėšų suma (eurais):</w:t>
            </w:r>
          </w:p>
        </w:tc>
        <w:tc>
          <w:tcPr>
            <w:tcW w:w="5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>
        <w:trPr>
          <w:gridAfter w:val="1"/>
          <w:wAfter w:w="938" w:type="dxa"/>
          <w:trHeight w:val="780"/>
        </w:trPr>
        <w:tc>
          <w:tcPr>
            <w:tcW w:w="3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CB9CA" w:themeFill="text2" w:themeFillTint="66"/>
            <w:hideMark/>
          </w:tcPr>
          <w:p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Bendri vertintojo komentarai: (</w:t>
            </w:r>
            <w:r>
              <w:rPr>
                <w:i/>
                <w:iCs/>
                <w:sz w:val="22"/>
                <w:szCs w:val="22"/>
              </w:rPr>
              <w:t xml:space="preserve">prašome aiškiai ir konkrečiai pagrįsti paraiškos trūkumus ir nurodyti, ką  ir kaip reikėtų tobulinti; pagrįsti siūlomą skirti sumą (jeigu siūloma skirti suma mažesnė):</w:t>
            </w:r>
          </w:p>
        </w:tc>
        <w:tc>
          <w:tcPr>
            <w:tcW w:w="5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wBefore w:w="38" w:type="dxa"/>
          <w:trHeight w:val="383"/>
        </w:trPr>
        <w:tc>
          <w:tcPr>
            <w:tcW w:w="1986" w:type="dxa"/>
            <w:hideMark/>
          </w:tcPr>
          <w:p>
            <w:pPr>
              <w:tabs>
                <w:tab w:val="left" w:pos="916"/>
                <w:tab w:val="left" w:pos="1832"/>
                <w:tab w:val="left" w:pos="1908"/>
                <w:tab w:val="left" w:pos="27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tabs>
                <w:tab w:val="left" w:pos="916"/>
                <w:tab w:val="left" w:pos="1832"/>
                <w:tab w:val="left" w:pos="1908"/>
                <w:tab w:val="left" w:pos="27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SimSun"/>
                <w:sz w:val="20"/>
                <w:lang w:eastAsia="zh-CN"/>
              </w:rPr>
            </w:pPr>
            <w:r>
              <w:rPr>
                <w:bCs/>
                <w:sz w:val="20"/>
              </w:rPr>
              <w:t>Vertinusio eksperto</w:t>
            </w:r>
          </w:p>
        </w:tc>
        <w:tc>
          <w:tcPr>
            <w:tcW w:w="2944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137"/>
              <w:rPr>
                <w:rFonts w:eastAsia="Calibri"/>
                <w:bCs/>
                <w:sz w:val="22"/>
                <w:szCs w:val="24"/>
                <w:lang w:eastAsia="zh-CN"/>
              </w:rPr>
            </w:pPr>
          </w:p>
        </w:tc>
        <w:tc>
          <w:tcPr>
            <w:tcW w:w="148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firstLine="57"/>
              <w:rPr>
                <w:rFonts w:eastAsia="Calibri"/>
                <w:bCs/>
                <w:sz w:val="22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gridBefore w:val="1"/>
          <w:wBefore w:w="38" w:type="dxa"/>
          <w:trHeight w:val="373"/>
        </w:trPr>
        <w:tc>
          <w:tcPr>
            <w:tcW w:w="1986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sz w:val="22"/>
                <w:szCs w:val="24"/>
                <w:lang w:eastAsia="zh-CN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i/>
                <w:sz w:val="22"/>
                <w:szCs w:val="24"/>
                <w:lang w:eastAsia="zh-CN"/>
              </w:rPr>
            </w:pPr>
            <w:r>
              <w:rPr>
                <w:rFonts w:eastAsia="Calibri"/>
                <w:bCs/>
                <w:i/>
                <w:sz w:val="22"/>
                <w:szCs w:val="24"/>
                <w:lang w:eastAsia="zh-CN"/>
              </w:rPr>
              <w:t>(parašas)</w:t>
            </w:r>
          </w:p>
        </w:tc>
        <w:tc>
          <w:tcPr>
            <w:tcW w:w="1487" w:type="dxa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i/>
                <w:sz w:val="22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i/>
                <w:sz w:val="22"/>
                <w:szCs w:val="24"/>
                <w:lang w:eastAsia="zh-CN"/>
              </w:rPr>
            </w:pPr>
            <w:r>
              <w:rPr>
                <w:rFonts w:eastAsia="Calibri"/>
                <w:bCs/>
                <w:i/>
                <w:sz w:val="22"/>
                <w:szCs w:val="24"/>
                <w:lang w:eastAsia="zh-CN"/>
              </w:rPr>
              <w:t>(vardas ir pavardė)</w:t>
            </w:r>
          </w:p>
        </w:tc>
      </w:tr>
    </w:tbl>
    <w:p>
      <w:pPr>
        <w:spacing w:line="259" w:lineRule="auto"/>
        <w:jc w:val="both"/>
        <w:rPr>
          <w:sz w:val="22"/>
          <w:szCs w:val="22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746" w:bottom="1440" w:left="810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separator/>
      </w:r>
    </w:p>
  </w:endnote>
  <w:endnote w:type="continuationSeparator" w:id="0">
    <w:p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680"/>
        <w:tab w:val="right" w:pos="9360"/>
      </w:tabs>
      <w:rPr>
        <w:sz w:val="22"/>
        <w:szCs w:val="22"/>
        <w:lang w:val="en-GB"/>
      </w:rPr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>
      <w:trPr>
        <w:trHeight w:val="300"/>
      </w:trPr>
      <w:tc>
        <w:tcPr>
          <w:tcW w:w="3005" w:type="dxa"/>
        </w:tcPr>
        <w:p>
          <w:pPr>
            <w:tabs>
              <w:tab w:val="center" w:pos="4680"/>
              <w:tab w:val="right" w:pos="9360"/>
            </w:tabs>
            <w:ind w:left="-115"/>
            <w:rPr>
              <w:sz w:val="22"/>
              <w:szCs w:val="22"/>
              <w:lang w:val="en-GB"/>
            </w:rPr>
          </w:pPr>
        </w:p>
      </w:tc>
      <w:tc>
        <w:tcPr>
          <w:tcW w:w="3005" w:type="dxa"/>
        </w:tcPr>
        <w:p>
          <w:pPr>
            <w:tabs>
              <w:tab w:val="center" w:pos="4680"/>
              <w:tab w:val="right" w:pos="9360"/>
            </w:tabs>
            <w:jc w:val="center"/>
            <w:rPr>
              <w:sz w:val="22"/>
              <w:szCs w:val="22"/>
              <w:lang w:val="en-GB"/>
            </w:rPr>
          </w:pPr>
        </w:p>
      </w:tc>
      <w:tc>
        <w:tcPr>
          <w:tcW w:w="3005" w:type="dxa"/>
        </w:tcPr>
        <w:p>
          <w:pPr>
            <w:tabs>
              <w:tab w:val="center" w:pos="4680"/>
              <w:tab w:val="right" w:pos="9360"/>
            </w:tabs>
            <w:ind w:right="-115"/>
            <w:jc w:val="right"/>
            <w:rPr>
              <w:sz w:val="22"/>
              <w:szCs w:val="22"/>
              <w:lang w:val="en-GB"/>
            </w:rPr>
          </w:pPr>
        </w:p>
      </w:tc>
    </w:tr>
  </w:tbl>
  <w:p>
    <w:pPr>
      <w:tabs>
        <w:tab w:val="center" w:pos="4680"/>
        <w:tab w:val="right" w:pos="9360"/>
      </w:tabs>
      <w:rPr>
        <w:sz w:val="22"/>
        <w:szCs w:val="22"/>
        <w:lang w:val="en-GB"/>
      </w:rPr>
    </w:pP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  <w:t>Pastaba dėl vertinimo skalių: kiekvienas kriterijus vertinamas 10 balų skale, kurių reikšmės yra šios:</w:t>
    </w:r>
  </w:p>
  <w:p>
    <w:pPr>
      <w:ind w:left="360" w:hanging="360"/>
      <w:jc w:val="both"/>
      <w:rPr>
        <w:sz w:val="22"/>
        <w:szCs w:val="22"/>
      </w:rPr>
    </w:pPr>
    <w:r>
      <w:rPr>
        <w:sz w:val="22"/>
        <w:szCs w:val="22"/>
      </w:rPr>
      <w:t>1-2 – labai silpnai arba visai nepagrįsta, yra esminių trūkumų;</w:t>
    </w:r>
  </w:p>
  <w:p>
    <w:pPr>
      <w:ind w:left="360" w:hanging="360"/>
      <w:jc w:val="both"/>
      <w:rPr>
        <w:sz w:val="22"/>
        <w:szCs w:val="22"/>
      </w:rPr>
    </w:pPr>
    <w:r>
      <w:rPr>
        <w:sz w:val="22"/>
        <w:szCs w:val="22"/>
      </w:rPr>
      <w:t xml:space="preserve">3-4 –  silpnai, trūksta esminės pagrindžiančios informacijos, netenkinami minimalūs reikalavimai;</w:t>
    </w:r>
  </w:p>
  <w:p>
    <w:pPr>
      <w:ind w:left="360" w:hanging="360"/>
      <w:jc w:val="both"/>
      <w:rPr>
        <w:sz w:val="22"/>
        <w:szCs w:val="22"/>
      </w:rPr>
    </w:pPr>
    <w:r>
      <w:rPr>
        <w:sz w:val="22"/>
        <w:szCs w:val="22"/>
      </w:rPr>
      <w:t>5-6 – vidutiniškai, trūksta išsamesnės pagrindžiančios informacijos, tačiau tenkinami minimalūs reikalavimai;</w:t>
    </w:r>
  </w:p>
  <w:p>
    <w:pPr>
      <w:ind w:left="360" w:hanging="360"/>
      <w:jc w:val="both"/>
      <w:rPr>
        <w:sz w:val="22"/>
        <w:szCs w:val="22"/>
      </w:rPr>
    </w:pPr>
    <w:r>
      <w:rPr>
        <w:sz w:val="22"/>
        <w:szCs w:val="22"/>
      </w:rPr>
      <w:t>7-8 – pakankamai gerai arba gerai, pagrindimas aiškus ir pakankamai tvirtas, tačiau yra trūkumų ir (arba) neaiškumų;</w:t>
    </w:r>
  </w:p>
  <w:p>
    <w:pPr>
      <w:ind w:left="360" w:hanging="360"/>
      <w:jc w:val="both"/>
      <w:rPr>
        <w:sz w:val="22"/>
        <w:szCs w:val="22"/>
      </w:rPr>
    </w:pPr>
    <w:r>
      <w:rPr>
        <w:sz w:val="22"/>
        <w:szCs w:val="22"/>
      </w:rPr>
      <w:t xml:space="preserve">9  –  labai gerai, su minimaliais neesminiais trūkumais;</w:t>
    </w:r>
  </w:p>
  <w:p>
    <w:pPr>
      <w:jc w:val="both"/>
      <w:rPr>
        <w:sz w:val="22"/>
        <w:szCs w:val="22"/>
      </w:rPr>
    </w:pPr>
    <w:r>
      <w:rPr>
        <w:sz w:val="22"/>
        <w:szCs w:val="22"/>
      </w:rPr>
      <w:t xml:space="preserve">10 – puikiai,  išskirtinai aiškiai ir argumentuotai pagrįsta, be jokių trūkumų.</w:t>
    </w:r>
  </w:p>
  <w:p>
    <w:pPr>
      <w:tabs>
        <w:tab w:val="center" w:pos="4680"/>
        <w:tab w:val="right" w:pos="9360"/>
      </w:tabs>
      <w:rPr>
        <w:sz w:val="22"/>
        <w:szCs w:val="22"/>
        <w:lang w:val="en-GB"/>
      </w:rPr>
    </w:pPr>
  </w:p>
  <w:p>
    <w:pPr>
      <w:tabs>
        <w:tab w:val="center" w:pos="4680"/>
        <w:tab w:val="right" w:pos="9360"/>
      </w:tabs>
      <w:rPr>
        <w:sz w:val="22"/>
        <w:szCs w:val="22"/>
        <w:lang w:val="en-GB"/>
      </w:rPr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separator/>
      </w:r>
    </w:p>
  </w:footnote>
  <w:footnote w:type="continuationSeparator" w:id="0">
    <w:p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680"/>
        <w:tab w:val="right" w:pos="9360"/>
      </w:tabs>
      <w:rPr>
        <w:sz w:val="22"/>
        <w:szCs w:val="22"/>
        <w:lang w:val="en-GB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680"/>
        <w:tab w:val="right" w:pos="9360"/>
      </w:tabs>
      <w:jc w:val="center"/>
      <w:rPr>
        <w:sz w:val="22"/>
        <w:szCs w:val="22"/>
        <w:lang w:val="en-GB"/>
      </w:rPr>
    </w:pPr>
    <w:r>
      <w:rPr>
        <w:sz w:val="22"/>
        <w:szCs w:val="22"/>
        <w:lang w:val="en-GB"/>
      </w:rPr>
      <w:fldChar w:fldCharType="begin"/>
    </w:r>
    <w:r>
      <w:rPr>
        <w:sz w:val="22"/>
        <w:szCs w:val="22"/>
        <w:lang w:val="en-GB"/>
      </w:rPr>
      <w:instrText>PAGE   \* MERGEFORMAT</w:instrText>
    </w:r>
    <w:r>
      <w:rPr>
        <w:sz w:val="22"/>
        <w:szCs w:val="22"/>
        <w:lang w:val="en-GB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  <w:lang w:val="en-GB"/>
      </w:rPr>
      <w:fldChar w:fldCharType="end"/>
    </w:r>
  </w:p>
  <w:p>
    <w:pPr>
      <w:tabs>
        <w:tab w:val="center" w:pos="4680"/>
        <w:tab w:val="right" w:pos="9360"/>
      </w:tabs>
      <w:rPr>
        <w:sz w:val="22"/>
        <w:szCs w:val="22"/>
        <w:lang w:val="en-GB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680"/>
        <w:tab w:val="right" w:pos="9360"/>
      </w:tabs>
      <w:rPr>
        <w:sz w:val="22"/>
        <w:szCs w:val="22"/>
        <w:lang w:val="en-GB"/>
      </w:rPr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78936C8-6F7A-4D9A-8F2E-F5A8447E0369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ivs>
    <w:div w:id="2003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3054</Characters>
  <Application>Microsoft Office Word</Application>
  <DocSecurity>4</DocSecurity>
  <Lines>179</Lines>
  <Paragraphs>85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2023-03-15T12:06:00Z</dcterms:created>
  <dc:creator>Dovile Rudzenske</dc:creator>
  <lastModifiedBy>adlibuser</lastModifiedBy>
  <dcterms:modified xsi:type="dcterms:W3CDTF">2023-03-15T12:06:00Z</dcterms:modified>
  <revision>2</revision>
</coreProperties>
</file>